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10.xml" ContentType="application/vnd.ms-office.chartcolorstyle+xml"/>
  <Override PartName="/word/charts/colors11.xml" ContentType="application/vnd.ms-office.chartcolorstyle+xml"/>
  <Override PartName="/word/charts/colors12.xml" ContentType="application/vnd.ms-office.chartcolorstyle+xml"/>
  <Override PartName="/word/charts/colors13.xml" ContentType="application/vnd.ms-office.chartcolorstyle+xml"/>
  <Override PartName="/word/charts/colors14.xml" ContentType="application/vnd.ms-office.chartcolorstyle+xml"/>
  <Override PartName="/word/charts/colors15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10.xml" ContentType="application/vnd.ms-office.chartstyle+xml"/>
  <Override PartName="/word/charts/style11.xml" ContentType="application/vnd.ms-office.chartstyle+xml"/>
  <Override PartName="/word/charts/style12.xml" ContentType="application/vnd.ms-office.chartstyle+xml"/>
  <Override PartName="/word/charts/style13.xml" ContentType="application/vnd.ms-office.chartstyle+xml"/>
  <Override PartName="/word/charts/style14.xml" ContentType="application/vnd.ms-office.chartstyle+xml"/>
  <Override PartName="/word/charts/style15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12B3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</w:p>
    <w:p w14:paraId="4169E5E2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hAnsi="微软雅黑" w:eastAsia="方正小标宋简体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sz w:val="44"/>
          <w:szCs w:val="44"/>
          <w:lang w:eastAsia="zh-CN"/>
        </w:rPr>
        <w:t>第三季度</w:t>
      </w:r>
      <w:r>
        <w:rPr>
          <w:rFonts w:hint="eastAsia" w:ascii="方正小标宋简体" w:hAnsi="微软雅黑" w:eastAsia="方正小标宋简体"/>
          <w:sz w:val="44"/>
          <w:szCs w:val="44"/>
        </w:rPr>
        <w:t>交易数据</w:t>
      </w:r>
    </w:p>
    <w:p w14:paraId="2A06ADEC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 w14:paraId="299047FD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统</w:t>
      </w:r>
    </w:p>
    <w:p w14:paraId="13C52DB3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计</w:t>
      </w:r>
    </w:p>
    <w:p w14:paraId="7B867F1B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分</w:t>
      </w:r>
    </w:p>
    <w:p w14:paraId="7A8500F4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析</w:t>
      </w:r>
    </w:p>
    <w:p w14:paraId="1BB3A6A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报</w:t>
      </w:r>
    </w:p>
    <w:p w14:paraId="5BE15C3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  <w:r>
        <w:rPr>
          <w:rFonts w:hint="eastAsia" w:ascii="方正小标宋简体" w:hAnsi="微软雅黑" w:eastAsia="方正小标宋简体"/>
          <w:sz w:val="72"/>
          <w:szCs w:val="72"/>
        </w:rPr>
        <w:t>告</w:t>
      </w:r>
    </w:p>
    <w:p w14:paraId="6E48E821">
      <w:pPr>
        <w:widowControl/>
        <w:tabs>
          <w:tab w:val="center" w:pos="4873"/>
          <w:tab w:val="left" w:pos="8850"/>
        </w:tabs>
        <w:jc w:val="center"/>
        <w:rPr>
          <w:rFonts w:ascii="方正小标宋简体" w:hAnsi="微软雅黑" w:eastAsia="方正小标宋简体"/>
          <w:sz w:val="72"/>
          <w:szCs w:val="72"/>
        </w:rPr>
      </w:pPr>
    </w:p>
    <w:p w14:paraId="44D0F6F1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自贡市公共资源交易服务中心</w:t>
      </w:r>
    </w:p>
    <w:p w14:paraId="7A75D66D">
      <w:pPr>
        <w:widowControl/>
        <w:jc w:val="center"/>
        <w:rPr>
          <w:rFonts w:ascii="方正小标宋简体" w:hAnsi="微软雅黑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微软雅黑" w:eastAsia="方正小标宋简体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微软雅黑" w:eastAsia="方正小标宋简体"/>
          <w:sz w:val="44"/>
          <w:szCs w:val="44"/>
        </w:rPr>
        <w:t>月</w:t>
      </w:r>
      <w:r>
        <w:rPr>
          <w:rFonts w:ascii="仿宋" w:hAnsi="仿宋" w:eastAsia="仿宋"/>
          <w:sz w:val="32"/>
          <w:szCs w:val="32"/>
        </w:rPr>
        <w:br w:type="page"/>
      </w:r>
    </w:p>
    <w:p w14:paraId="5BD9C03D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自贡市公共资源交易服务中心</w:t>
      </w:r>
    </w:p>
    <w:p w14:paraId="4E7DC83C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hAnsi="仿宋" w:eastAsia="方正小标宋简体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第三季度</w:t>
      </w:r>
      <w:r>
        <w:rPr>
          <w:rFonts w:hint="eastAsia" w:ascii="方正小标宋简体" w:hAnsi="仿宋" w:eastAsia="方正小标宋简体"/>
          <w:sz w:val="44"/>
          <w:szCs w:val="44"/>
        </w:rPr>
        <w:t>交易数据统计分析报告</w:t>
      </w:r>
      <w:bookmarkStart w:id="0" w:name="_Toc72240300"/>
    </w:p>
    <w:p w14:paraId="01ABAB64">
      <w:pPr>
        <w:spacing w:line="560" w:lineRule="exact"/>
        <w:jc w:val="left"/>
        <w:rPr>
          <w:rFonts w:ascii="方正小标宋简体" w:hAnsi="仿宋" w:eastAsia="方正小标宋简体"/>
          <w:sz w:val="44"/>
          <w:szCs w:val="44"/>
        </w:rPr>
      </w:pPr>
      <w:r>
        <w:rPr>
          <w:rFonts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</w:rPr>
        <w:t>、交易概况</w:t>
      </w:r>
      <w:bookmarkEnd w:id="0"/>
    </w:p>
    <w:p w14:paraId="34389CBA"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（一）总体情况。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全市完成公共资源交易项目（含工程建设、政府集中采购、土地出让、产权交易）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245</w:t>
      </w:r>
      <w:r>
        <w:rPr>
          <w:rFonts w:hint="eastAsia" w:ascii="仿宋_GB2312" w:hAnsi="仿宋" w:eastAsia="仿宋_GB2312"/>
          <w:sz w:val="32"/>
          <w:szCs w:val="32"/>
        </w:rPr>
        <w:t>宗，与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2024年第二季度</w:t>
      </w:r>
      <w:r>
        <w:rPr>
          <w:rFonts w:hint="eastAsia" w:ascii="仿宋_GB2312" w:hAnsi="仿宋" w:eastAsia="仿宋_GB2312"/>
          <w:sz w:val="32"/>
          <w:szCs w:val="32"/>
        </w:rPr>
        <w:t>相比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下降4.3</w:t>
      </w:r>
      <w:r>
        <w:rPr>
          <w:rFonts w:hint="eastAsia" w:ascii="仿宋_GB2312" w:hAnsi="仿宋" w:eastAsia="仿宋_GB2312"/>
          <w:sz w:val="32"/>
          <w:szCs w:val="32"/>
        </w:rPr>
        <w:t>%；交易总额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33.87亿</w:t>
      </w:r>
      <w:r>
        <w:rPr>
          <w:rFonts w:hint="eastAsia" w:ascii="仿宋_GB2312" w:hAnsi="仿宋" w:eastAsia="仿宋_GB2312"/>
          <w:sz w:val="32"/>
          <w:szCs w:val="32"/>
        </w:rPr>
        <w:t>元，与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2024年第二季度</w:t>
      </w:r>
      <w:r>
        <w:rPr>
          <w:rFonts w:hint="eastAsia" w:ascii="仿宋_GB2312" w:hAnsi="仿宋" w:eastAsia="仿宋_GB2312"/>
          <w:sz w:val="32"/>
          <w:szCs w:val="32"/>
        </w:rPr>
        <w:t>相比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下降19.52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B1BC9E1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535805" cy="3253740"/>
            <wp:effectExtent l="0" t="0" r="17145" b="381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</w:p>
    <w:p w14:paraId="48CFCD38"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（二）项目分布（不含政府集中采购电子卖场数据）。</w:t>
      </w:r>
    </w:p>
    <w:p w14:paraId="4A542DB3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在交易项目数量方面，建设工程以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120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49</w:t>
      </w:r>
      <w:r>
        <w:rPr>
          <w:rFonts w:hint="eastAsia" w:ascii="仿宋_GB2312" w:hAnsi="仿宋" w:eastAsia="仿宋_GB2312"/>
          <w:sz w:val="32"/>
          <w:szCs w:val="32"/>
        </w:rPr>
        <w:t>%）高于其他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类别</w:t>
      </w:r>
      <w:r>
        <w:rPr>
          <w:rFonts w:hint="eastAsia" w:ascii="仿宋_GB2312" w:hAnsi="仿宋" w:eastAsia="仿宋_GB2312"/>
          <w:sz w:val="32"/>
          <w:szCs w:val="32"/>
        </w:rPr>
        <w:t>；在交易金额方面，建设工程项目以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25.45亿</w:t>
      </w:r>
      <w:r>
        <w:rPr>
          <w:rFonts w:hint="eastAsia" w:ascii="仿宋_GB2312" w:hAnsi="仿宋" w:eastAsia="仿宋_GB2312"/>
          <w:sz w:val="32"/>
          <w:szCs w:val="32"/>
        </w:rPr>
        <w:t>元（占比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93.36</w:t>
      </w:r>
      <w:r>
        <w:rPr>
          <w:rFonts w:hint="eastAsia" w:ascii="仿宋_GB2312" w:hAnsi="仿宋" w:eastAsia="仿宋_GB2312"/>
          <w:sz w:val="32"/>
          <w:szCs w:val="32"/>
        </w:rPr>
        <w:t>%）成为全市主要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交易类别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5BCE72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85725</wp:posOffset>
            </wp:positionV>
            <wp:extent cx="2505075" cy="2590800"/>
            <wp:effectExtent l="4445" t="4445" r="5080" b="8255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76200</wp:posOffset>
            </wp:positionV>
            <wp:extent cx="2390775" cy="2600325"/>
            <wp:effectExtent l="4445" t="4445" r="5080" b="11430"/>
            <wp:wrapTopAndBottom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tbl>
      <w:tblPr>
        <w:tblStyle w:val="9"/>
        <w:tblW w:w="52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737"/>
        <w:gridCol w:w="2098"/>
        <w:gridCol w:w="1774"/>
        <w:gridCol w:w="1616"/>
      </w:tblGrid>
      <w:tr w14:paraId="32C2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30" w:type="pct"/>
            <w:vAlign w:val="top"/>
          </w:tcPr>
          <w:p w14:paraId="14B4DB8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bookmarkStart w:id="1" w:name="_Toc72240301"/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978" w:type="pct"/>
            <w:vAlign w:val="top"/>
          </w:tcPr>
          <w:p w14:paraId="35A13D8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建设工程</w:t>
            </w:r>
          </w:p>
        </w:tc>
        <w:tc>
          <w:tcPr>
            <w:tcW w:w="1181" w:type="pct"/>
            <w:vAlign w:val="top"/>
          </w:tcPr>
          <w:p w14:paraId="00A7821C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政府集中采购</w:t>
            </w:r>
          </w:p>
        </w:tc>
        <w:tc>
          <w:tcPr>
            <w:tcW w:w="999" w:type="pct"/>
            <w:vAlign w:val="top"/>
          </w:tcPr>
          <w:p w14:paraId="78D5272D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土地使用权</w:t>
            </w:r>
          </w:p>
        </w:tc>
        <w:tc>
          <w:tcPr>
            <w:tcW w:w="910" w:type="pct"/>
            <w:vAlign w:val="top"/>
          </w:tcPr>
          <w:p w14:paraId="069C20C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国有产权</w:t>
            </w:r>
          </w:p>
        </w:tc>
      </w:tr>
      <w:tr w14:paraId="6DF2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0" w:type="pct"/>
            <w:vAlign w:val="top"/>
          </w:tcPr>
          <w:p w14:paraId="7718F12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1A4A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2F3BB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511A2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BE05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</w:tr>
      <w:tr w14:paraId="18D3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0" w:type="pct"/>
            <w:vAlign w:val="top"/>
          </w:tcPr>
          <w:p w14:paraId="0A0C545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金额(亿元)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FDC94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25.45</w:t>
            </w:r>
          </w:p>
        </w:tc>
        <w:tc>
          <w:tcPr>
            <w:tcW w:w="1181" w:type="pct"/>
            <w:shd w:val="clear" w:color="auto" w:fill="auto"/>
            <w:vAlign w:val="center"/>
          </w:tcPr>
          <w:p w14:paraId="730E0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019B0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A3785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0.33</w:t>
            </w:r>
          </w:p>
        </w:tc>
      </w:tr>
    </w:tbl>
    <w:p w14:paraId="054D1FA3">
      <w:pPr>
        <w:widowControl/>
        <w:rPr>
          <w:rFonts w:ascii="仿宋" w:hAnsi="仿宋" w:eastAsia="仿宋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二、分类交易情况</w:t>
      </w:r>
      <w:bookmarkEnd w:id="1"/>
    </w:p>
    <w:p w14:paraId="1AA4BAEF">
      <w:pPr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（一）工程建设项目。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全市累计完成工程建设项目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120</w:t>
      </w:r>
      <w:r>
        <w:rPr>
          <w:rFonts w:hint="eastAsia" w:ascii="仿宋_GB2312" w:hAnsi="仿宋" w:eastAsia="仿宋_GB2312"/>
          <w:sz w:val="32"/>
          <w:szCs w:val="32"/>
        </w:rPr>
        <w:t>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下降19.92</w:t>
      </w:r>
      <w:r>
        <w:rPr>
          <w:rFonts w:hint="eastAsia" w:ascii="仿宋_GB2312" w:hAnsi="仿宋" w:eastAsia="仿宋_GB2312"/>
          <w:sz w:val="32"/>
          <w:szCs w:val="32"/>
        </w:rPr>
        <w:t>%；交易金额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25.45亿元</w:t>
      </w:r>
      <w:r>
        <w:rPr>
          <w:rFonts w:hint="eastAsia" w:ascii="仿宋_GB2312" w:hAnsi="仿宋" w:eastAsia="仿宋_GB2312"/>
          <w:sz w:val="32"/>
          <w:szCs w:val="32"/>
        </w:rPr>
        <w:t>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上升0.71</w:t>
      </w:r>
      <w:r>
        <w:rPr>
          <w:rFonts w:hint="eastAsia" w:ascii="仿宋_GB2312" w:hAnsi="仿宋" w:eastAsia="仿宋_GB2312"/>
          <w:sz w:val="32"/>
          <w:szCs w:val="32"/>
        </w:rPr>
        <w:t>%。</w:t>
      </w:r>
      <w:bookmarkStart w:id="4" w:name="_GoBack"/>
      <w:bookmarkEnd w:id="4"/>
    </w:p>
    <w:p w14:paraId="4037499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667250" cy="2867025"/>
            <wp:effectExtent l="4445" t="5080" r="6985" b="825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546DC9D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1.在类别分布上，房建、市政项目在工程建设项目中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高于其它</w:t>
      </w:r>
      <w:r>
        <w:rPr>
          <w:rFonts w:hint="eastAsia" w:ascii="仿宋_GB2312" w:hAnsi="仿宋" w:eastAsia="仿宋_GB2312"/>
          <w:sz w:val="32"/>
          <w:szCs w:val="32"/>
        </w:rPr>
        <w:t>类别。</w:t>
      </w:r>
    </w:p>
    <w:p w14:paraId="4EE37DE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57150</wp:posOffset>
            </wp:positionV>
            <wp:extent cx="2677795" cy="2537460"/>
            <wp:effectExtent l="4445" t="4445" r="10160" b="10795"/>
            <wp:wrapSquare wrapText="bothSides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82550</wp:posOffset>
            </wp:positionV>
            <wp:extent cx="2530475" cy="2500630"/>
            <wp:effectExtent l="4445" t="4445" r="5080" b="9525"/>
            <wp:wrapSquare wrapText="bothSides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tbl>
      <w:tblPr>
        <w:tblStyle w:val="9"/>
        <w:tblW w:w="10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456"/>
        <w:gridCol w:w="1599"/>
        <w:gridCol w:w="1732"/>
        <w:gridCol w:w="2008"/>
        <w:gridCol w:w="2008"/>
      </w:tblGrid>
      <w:tr w14:paraId="777B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 w14:paraId="453039E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分  类</w:t>
            </w:r>
          </w:p>
        </w:tc>
        <w:tc>
          <w:tcPr>
            <w:tcW w:w="1456" w:type="dxa"/>
            <w:vAlign w:val="top"/>
          </w:tcPr>
          <w:p w14:paraId="62638298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房  建</w:t>
            </w:r>
          </w:p>
        </w:tc>
        <w:tc>
          <w:tcPr>
            <w:tcW w:w="1599" w:type="dxa"/>
            <w:vAlign w:val="top"/>
          </w:tcPr>
          <w:p w14:paraId="79A2FE3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  政</w:t>
            </w:r>
          </w:p>
        </w:tc>
        <w:tc>
          <w:tcPr>
            <w:tcW w:w="1732" w:type="dxa"/>
            <w:vAlign w:val="top"/>
          </w:tcPr>
          <w:p w14:paraId="1C3ADC5E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交通工程</w:t>
            </w:r>
          </w:p>
        </w:tc>
        <w:tc>
          <w:tcPr>
            <w:tcW w:w="2008" w:type="dxa"/>
            <w:vAlign w:val="top"/>
          </w:tcPr>
          <w:p w14:paraId="27D7263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水利</w:t>
            </w:r>
          </w:p>
        </w:tc>
        <w:tc>
          <w:tcPr>
            <w:tcW w:w="2008" w:type="dxa"/>
            <w:vAlign w:val="top"/>
          </w:tcPr>
          <w:p w14:paraId="58FFA51B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其他</w:t>
            </w:r>
          </w:p>
        </w:tc>
      </w:tr>
      <w:tr w14:paraId="4F86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 w14:paraId="037A589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4FEED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2BD2E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0C1E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9C642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305F6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462E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7" w:type="dxa"/>
            <w:vAlign w:val="top"/>
          </w:tcPr>
          <w:p w14:paraId="7AC62F79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F3EA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11.00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25B5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9.40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3D07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7303A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5E42EE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2.80</w:t>
            </w:r>
          </w:p>
        </w:tc>
      </w:tr>
    </w:tbl>
    <w:p w14:paraId="2C2993E8">
      <w:pPr>
        <w:rPr>
          <w:rFonts w:ascii="仿宋" w:hAnsi="仿宋" w:eastAsia="仿宋"/>
          <w:sz w:val="32"/>
          <w:szCs w:val="32"/>
        </w:rPr>
      </w:pPr>
    </w:p>
    <w:p w14:paraId="3A597D08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2.在区域分布上，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市本级</w:t>
      </w:r>
      <w:r>
        <w:rPr>
          <w:rFonts w:hint="eastAsia" w:ascii="仿宋_GB2312" w:hAnsi="仿宋" w:eastAsia="仿宋_GB2312"/>
          <w:sz w:val="32"/>
          <w:szCs w:val="32"/>
        </w:rPr>
        <w:t>以交易项目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宗（占比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</w:rPr>
        <w:t>%）高居于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本市</w:t>
      </w:r>
      <w:r>
        <w:rPr>
          <w:rFonts w:hint="eastAsia" w:ascii="仿宋_GB2312" w:hAnsi="仿宋" w:eastAsia="仿宋_GB2312"/>
          <w:sz w:val="32"/>
          <w:szCs w:val="32"/>
        </w:rPr>
        <w:t>其他区域，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富顺县以</w:t>
      </w:r>
      <w:r>
        <w:rPr>
          <w:rFonts w:hint="eastAsia" w:ascii="仿宋_GB2312" w:hAnsi="仿宋" w:eastAsia="仿宋_GB2312"/>
          <w:sz w:val="32"/>
          <w:szCs w:val="32"/>
        </w:rPr>
        <w:t>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9.52亿</w:t>
      </w:r>
      <w:r>
        <w:rPr>
          <w:rFonts w:hint="eastAsia" w:ascii="仿宋_GB2312" w:hAnsi="仿宋" w:eastAsia="仿宋_GB2312"/>
          <w:sz w:val="32"/>
          <w:szCs w:val="32"/>
        </w:rPr>
        <w:t>元（占比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40.91</w:t>
      </w:r>
      <w:r>
        <w:rPr>
          <w:rFonts w:hint="eastAsia" w:ascii="仿宋_GB2312" w:hAnsi="仿宋" w:eastAsia="仿宋_GB2312"/>
          <w:sz w:val="32"/>
          <w:szCs w:val="32"/>
        </w:rPr>
        <w:t>%）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全市工程建设项目中成交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金额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名。</w:t>
      </w:r>
    </w:p>
    <w:p w14:paraId="289A173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drawing>
          <wp:inline distT="0" distB="0" distL="0" distR="0">
            <wp:extent cx="4523105" cy="3079115"/>
            <wp:effectExtent l="4445" t="4445" r="6350" b="15240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58FDB8">
      <w:pPr>
        <w:ind w:left="142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447540" cy="2845435"/>
            <wp:effectExtent l="4445" t="4445" r="5715" b="762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21517D">
      <w:pPr>
        <w:ind w:left="142"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779"/>
        <w:gridCol w:w="2123"/>
        <w:gridCol w:w="2277"/>
      </w:tblGrid>
      <w:tr w14:paraId="7D95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73" w:type="pct"/>
            <w:vAlign w:val="center"/>
          </w:tcPr>
          <w:p w14:paraId="34C80E2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区  域</w:t>
            </w:r>
          </w:p>
        </w:tc>
        <w:tc>
          <w:tcPr>
            <w:tcW w:w="1044" w:type="pct"/>
          </w:tcPr>
          <w:p w14:paraId="2F72A9E9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61398F5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市本级</w:t>
            </w:r>
          </w:p>
        </w:tc>
        <w:tc>
          <w:tcPr>
            <w:tcW w:w="1246" w:type="pct"/>
          </w:tcPr>
          <w:p w14:paraId="0A6ACA8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4B947FD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富顺县</w:t>
            </w:r>
          </w:p>
        </w:tc>
        <w:tc>
          <w:tcPr>
            <w:tcW w:w="1336" w:type="pct"/>
          </w:tcPr>
          <w:p w14:paraId="4285D9A4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</w:p>
          <w:p w14:paraId="18F112F5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荣县</w:t>
            </w:r>
          </w:p>
        </w:tc>
      </w:tr>
      <w:tr w14:paraId="4443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373" w:type="pct"/>
            <w:vAlign w:val="center"/>
          </w:tcPr>
          <w:p w14:paraId="22930D1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项目数(宗)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52AA3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6AD1C3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1B8ABA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12FC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373" w:type="pct"/>
            <w:vAlign w:val="center"/>
          </w:tcPr>
          <w:p w14:paraId="4A68F4D5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金额（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亿</w:t>
            </w: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</w:rPr>
              <w:t>元）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2C794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14.89</w:t>
            </w:r>
          </w:p>
        </w:tc>
        <w:tc>
          <w:tcPr>
            <w:tcW w:w="1246" w:type="pct"/>
            <w:shd w:val="clear" w:color="auto" w:fill="auto"/>
            <w:vAlign w:val="center"/>
          </w:tcPr>
          <w:p w14:paraId="15402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5.38</w:t>
            </w:r>
          </w:p>
        </w:tc>
        <w:tc>
          <w:tcPr>
            <w:tcW w:w="1336" w:type="pct"/>
            <w:shd w:val="clear" w:color="auto" w:fill="auto"/>
            <w:vAlign w:val="center"/>
          </w:tcPr>
          <w:p w14:paraId="448BBE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5.18</w:t>
            </w:r>
          </w:p>
        </w:tc>
      </w:tr>
    </w:tbl>
    <w:p w14:paraId="41F8B89C">
      <w:pPr>
        <w:ind w:firstLine="640" w:firstLineChars="200"/>
        <w:rPr>
          <w:rFonts w:ascii="仿宋_GB2312" w:hAnsi="仿宋" w:eastAsia="仿宋_GB2312"/>
          <w:b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3．在重大项目交易上，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全市累计完成总投资额5000万元以上的重大项目（含分标段交易）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宗，占比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10.83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%；交易金额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16.09亿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元，占比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63.22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%，重大项目集中在房屋建筑和市政工程。</w:t>
      </w:r>
    </w:p>
    <w:p w14:paraId="316FACAB">
      <w:pPr>
        <w:spacing w:line="360" w:lineRule="auto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（二）政府集中采购项目。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全市共完成政府集中采购项目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</w:t>
      </w:r>
      <w:r>
        <w:rPr>
          <w:rFonts w:hint="eastAsia" w:ascii="仿宋_GB2312" w:hAnsi="仿宋" w:eastAsia="仿宋_GB2312"/>
          <w:sz w:val="32"/>
          <w:szCs w:val="32"/>
        </w:rPr>
        <w:t>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上升37.5%</w:t>
      </w:r>
      <w:r>
        <w:rPr>
          <w:rFonts w:hint="eastAsia" w:ascii="仿宋_GB2312" w:hAnsi="仿宋" w:eastAsia="仿宋_GB2312"/>
          <w:sz w:val="32"/>
          <w:szCs w:val="32"/>
        </w:rPr>
        <w:t>；交易金额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1.31亿</w:t>
      </w:r>
      <w:r>
        <w:rPr>
          <w:rFonts w:hint="eastAsia" w:ascii="仿宋_GB2312" w:hAnsi="仿宋" w:eastAsia="仿宋_GB2312"/>
          <w:sz w:val="32"/>
          <w:szCs w:val="32"/>
        </w:rPr>
        <w:t>元，环比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下降28.04</w:t>
      </w:r>
      <w:r>
        <w:rPr>
          <w:rFonts w:hint="eastAsia" w:ascii="仿宋_GB2312" w:hAnsi="仿宋" w:eastAsia="仿宋_GB2312"/>
          <w:sz w:val="32"/>
          <w:szCs w:val="32"/>
        </w:rPr>
        <w:t>%.</w:t>
      </w:r>
    </w:p>
    <w:p w14:paraId="608D3DE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8255" b="8255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E46518C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1．在采购方式分布上，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竞争性磋商</w:t>
      </w:r>
      <w:r>
        <w:rPr>
          <w:rFonts w:hint="eastAsia" w:ascii="仿宋_GB2312" w:hAnsi="仿宋" w:eastAsia="仿宋_GB2312"/>
          <w:sz w:val="32"/>
          <w:szCs w:val="32"/>
        </w:rPr>
        <w:t>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宗在交易项目数量上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以0.62亿元成交价位列政府采购成交价第一；公开招标14宗，成交</w:t>
      </w:r>
      <w:r>
        <w:rPr>
          <w:rFonts w:hint="eastAsia" w:ascii="仿宋_GB2312" w:hAnsi="仿宋" w:eastAsia="仿宋_GB2312"/>
          <w:sz w:val="32"/>
          <w:szCs w:val="32"/>
        </w:rPr>
        <w:t>价为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0.42亿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竞争性谈判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，成交</w:t>
      </w:r>
      <w:r>
        <w:rPr>
          <w:rFonts w:hint="eastAsia" w:ascii="仿宋_GB2312" w:hAnsi="仿宋" w:eastAsia="仿宋_GB2312"/>
          <w:sz w:val="32"/>
          <w:szCs w:val="32"/>
        </w:rPr>
        <w:t>价为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0.20亿</w:t>
      </w:r>
      <w:r>
        <w:rPr>
          <w:rFonts w:hint="eastAsia" w:ascii="仿宋_GB2312" w:hAnsi="仿宋" w:eastAsia="仿宋_GB2312"/>
          <w:sz w:val="32"/>
          <w:szCs w:val="32"/>
        </w:rPr>
        <w:t>元；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询价成交8宗，成交价0.05亿元；单一来源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2宗</w:t>
      </w:r>
      <w:r>
        <w:rPr>
          <w:rFonts w:hint="eastAsia" w:ascii="仿宋_GB2312" w:hAnsi="仿宋" w:eastAsia="仿宋_GB2312"/>
          <w:sz w:val="32"/>
          <w:szCs w:val="32"/>
        </w:rPr>
        <w:t>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为0.02亿</w:t>
      </w:r>
      <w:r>
        <w:rPr>
          <w:rFonts w:hint="eastAsia" w:ascii="仿宋_GB2312" w:hAnsi="仿宋" w:eastAsia="仿宋_GB2312"/>
          <w:sz w:val="32"/>
          <w:szCs w:val="32"/>
        </w:rPr>
        <w:t>元。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256"/>
        <w:gridCol w:w="1502"/>
        <w:gridCol w:w="1502"/>
        <w:gridCol w:w="1256"/>
        <w:gridCol w:w="1257"/>
      </w:tblGrid>
      <w:tr w14:paraId="3544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4" w:type="pct"/>
            <w:vAlign w:val="top"/>
          </w:tcPr>
          <w:p w14:paraId="449C09FA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交易类型</w:t>
            </w:r>
          </w:p>
        </w:tc>
        <w:tc>
          <w:tcPr>
            <w:tcW w:w="737" w:type="pct"/>
            <w:vAlign w:val="top"/>
          </w:tcPr>
          <w:p w14:paraId="76B51BE7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公开招标</w:t>
            </w:r>
          </w:p>
        </w:tc>
        <w:tc>
          <w:tcPr>
            <w:tcW w:w="881" w:type="pct"/>
            <w:vAlign w:val="top"/>
          </w:tcPr>
          <w:p w14:paraId="146A799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竞争性磋商</w:t>
            </w:r>
          </w:p>
        </w:tc>
        <w:tc>
          <w:tcPr>
            <w:tcW w:w="881" w:type="pct"/>
            <w:vAlign w:val="top"/>
          </w:tcPr>
          <w:p w14:paraId="11D181EF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竞争性谈判</w:t>
            </w:r>
          </w:p>
        </w:tc>
        <w:tc>
          <w:tcPr>
            <w:tcW w:w="737" w:type="pct"/>
            <w:vAlign w:val="top"/>
          </w:tcPr>
          <w:p w14:paraId="428405A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询价</w:t>
            </w:r>
          </w:p>
        </w:tc>
        <w:tc>
          <w:tcPr>
            <w:tcW w:w="737" w:type="pct"/>
            <w:vAlign w:val="top"/>
          </w:tcPr>
          <w:p w14:paraId="43AEF80A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单一来源</w:t>
            </w:r>
          </w:p>
        </w:tc>
      </w:tr>
      <w:tr w14:paraId="13E6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24" w:type="pct"/>
            <w:vAlign w:val="top"/>
          </w:tcPr>
          <w:p w14:paraId="4A0D85AE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数量(宗)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48EB1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1ED14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552C9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B075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A83F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F9D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24" w:type="pct"/>
            <w:vAlign w:val="top"/>
          </w:tcPr>
          <w:p w14:paraId="3C10B012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6EEA6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65F7A0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528717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C617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8EC4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</w:tr>
    </w:tbl>
    <w:p w14:paraId="11642BDF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1B951AF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8255" b="8255"/>
            <wp:docPr id="19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8CD2F0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22" name="图表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07AA4D5">
      <w:pPr>
        <w:numPr>
          <w:ilvl w:val="0"/>
          <w:numId w:val="1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在行政区域分布上，市本级（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含驻市</w:t>
      </w:r>
      <w:r>
        <w:rPr>
          <w:rFonts w:hint="eastAsia" w:ascii="仿宋_GB2312" w:hAnsi="仿宋" w:eastAsia="仿宋_GB2312"/>
          <w:sz w:val="32"/>
          <w:szCs w:val="32"/>
        </w:rPr>
        <w:t>省级预算单位）成</w:t>
      </w:r>
      <w:bookmarkStart w:id="2" w:name="_Hlk74921107"/>
      <w:r>
        <w:rPr>
          <w:rFonts w:hint="eastAsia" w:ascii="仿宋_GB2312" w:hAnsi="仿宋" w:eastAsia="仿宋_GB2312"/>
          <w:sz w:val="32"/>
          <w:szCs w:val="32"/>
        </w:rPr>
        <w:t>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1.05亿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2"/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成为</w:t>
      </w:r>
      <w:r>
        <w:rPr>
          <w:rFonts w:hint="eastAsia" w:ascii="仿宋_GB2312" w:hAnsi="仿宋" w:eastAsia="仿宋_GB2312"/>
          <w:sz w:val="32"/>
          <w:szCs w:val="32"/>
        </w:rPr>
        <w:t>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宗数、成交金额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</w:rPr>
        <w:t>名；</w:t>
      </w:r>
      <w:bookmarkStart w:id="3" w:name="_Hlk74920865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贡井区成交5宗，成交价为0.03亿元；沿滩区成交3宗，成交价为0.02亿元；大安</w:t>
      </w:r>
      <w:r>
        <w:rPr>
          <w:rFonts w:hint="eastAsia" w:ascii="仿宋_GB2312" w:hAnsi="仿宋" w:eastAsia="仿宋_GB2312"/>
          <w:sz w:val="32"/>
          <w:szCs w:val="32"/>
        </w:rPr>
        <w:t>区成交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宗，成交价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0.13亿</w:t>
      </w:r>
      <w:r>
        <w:rPr>
          <w:rFonts w:hint="eastAsia" w:ascii="仿宋_GB2312" w:hAnsi="仿宋" w:eastAsia="仿宋_GB2312"/>
          <w:sz w:val="32"/>
          <w:szCs w:val="32"/>
        </w:rPr>
        <w:t>元</w:t>
      </w:r>
      <w:bookmarkEnd w:id="3"/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荣县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成交8宗，成交价0.06亿元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富顺县成交3宗，成交价0.02亿元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B8A1225">
      <w:pPr>
        <w:numPr>
          <w:ilvl w:val="0"/>
          <w:numId w:val="0"/>
        </w:numPr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101"/>
        <w:gridCol w:w="1101"/>
        <w:gridCol w:w="1001"/>
        <w:gridCol w:w="1102"/>
        <w:gridCol w:w="1102"/>
        <w:gridCol w:w="1211"/>
      </w:tblGrid>
      <w:tr w14:paraId="0EBB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14" w:type="pct"/>
            <w:vAlign w:val="center"/>
          </w:tcPr>
          <w:p w14:paraId="194233A6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区  域</w:t>
            </w:r>
          </w:p>
        </w:tc>
        <w:tc>
          <w:tcPr>
            <w:tcW w:w="646" w:type="pct"/>
          </w:tcPr>
          <w:p w14:paraId="3E4C293A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市本级</w:t>
            </w:r>
          </w:p>
        </w:tc>
        <w:tc>
          <w:tcPr>
            <w:tcW w:w="646" w:type="pct"/>
          </w:tcPr>
          <w:p w14:paraId="611ECFE5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贡井区</w:t>
            </w:r>
          </w:p>
        </w:tc>
        <w:tc>
          <w:tcPr>
            <w:tcW w:w="587" w:type="pct"/>
          </w:tcPr>
          <w:p w14:paraId="664FABE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沿滩区</w:t>
            </w:r>
          </w:p>
        </w:tc>
        <w:tc>
          <w:tcPr>
            <w:tcW w:w="646" w:type="pct"/>
          </w:tcPr>
          <w:p w14:paraId="1EADFBB5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大安区</w:t>
            </w:r>
          </w:p>
        </w:tc>
        <w:tc>
          <w:tcPr>
            <w:tcW w:w="646" w:type="pct"/>
          </w:tcPr>
          <w:p w14:paraId="629C5E7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荣县</w:t>
            </w:r>
          </w:p>
        </w:tc>
        <w:tc>
          <w:tcPr>
            <w:tcW w:w="710" w:type="pct"/>
          </w:tcPr>
          <w:p w14:paraId="5F0B5564">
            <w:pPr>
              <w:snapToGrid w:val="0"/>
              <w:jc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富顺县</w:t>
            </w:r>
          </w:p>
        </w:tc>
      </w:tr>
      <w:tr w14:paraId="294E4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4" w:type="pct"/>
            <w:vAlign w:val="center"/>
          </w:tcPr>
          <w:p w14:paraId="00042D6B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项目数(宗)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5AC7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41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5F992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551A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F86C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646" w:type="pct"/>
            <w:vAlign w:val="center"/>
          </w:tcPr>
          <w:p w14:paraId="1EADD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6958C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</w:tr>
      <w:tr w14:paraId="6BAC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4" w:type="pct"/>
            <w:vAlign w:val="center"/>
          </w:tcPr>
          <w:p w14:paraId="43415743">
            <w:pPr>
              <w:snapToGrid w:val="0"/>
              <w:jc w:val="center"/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36"/>
                <w:kern w:val="0"/>
                <w:sz w:val="26"/>
                <w:szCs w:val="26"/>
                <w:lang w:val="en-US" w:eastAsia="zh-CN"/>
              </w:rPr>
              <w:t>金额（亿元）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021B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CBA9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3E8CB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4918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56F2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5C2F7C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</w:tr>
    </w:tbl>
    <w:p w14:paraId="5001173B"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3204F667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4445" t="4445" r="14605" b="12065"/>
            <wp:docPr id="30" name="图表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796514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5486400" cy="3200400"/>
            <wp:effectExtent l="0" t="0" r="0" b="0"/>
            <wp:docPr id="32" name="图表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10D5CC9">
      <w:pPr>
        <w:widowControl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（三）土地使用权出让。</w:t>
      </w:r>
      <w:r>
        <w:rPr>
          <w:rFonts w:hint="eastAsia" w:ascii="仿宋_GB2312" w:hAnsi="仿宋" w:eastAsia="仿宋_GB2312"/>
          <w:sz w:val="32"/>
          <w:szCs w:val="32"/>
        </w:rPr>
        <w:t>全市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共完成土地使用权出让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宗，环比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下降75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交易面积121.4799亩，环比下降85.71%</w:t>
      </w:r>
      <w:r>
        <w:rPr>
          <w:rFonts w:hint="eastAsia" w:ascii="仿宋_GB2312" w:hAnsi="仿宋" w:eastAsia="仿宋_GB2312"/>
          <w:sz w:val="32"/>
          <w:szCs w:val="32"/>
        </w:rPr>
        <w:t>；成交金额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0.17亿元，环比下降97.42%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1463CB4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781550" cy="2857500"/>
            <wp:effectExtent l="5080" t="4445" r="13970" b="8255"/>
            <wp:docPr id="16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5E17096">
      <w:pPr>
        <w:numPr>
          <w:ilvl w:val="0"/>
          <w:numId w:val="2"/>
        </w:num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国有产权。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第三季度</w:t>
      </w:r>
      <w:r>
        <w:rPr>
          <w:rFonts w:hint="eastAsia" w:ascii="仿宋_GB2312" w:hAnsi="仿宋" w:eastAsia="仿宋_GB2312"/>
          <w:sz w:val="32"/>
          <w:szCs w:val="32"/>
        </w:rPr>
        <w:t>全市产权类项目入场交易累计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" w:eastAsia="仿宋_GB2312"/>
          <w:sz w:val="32"/>
          <w:szCs w:val="32"/>
        </w:rPr>
        <w:t>宗，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环比上升16.67%</w:t>
      </w:r>
      <w:r>
        <w:rPr>
          <w:rFonts w:hint="eastAsia" w:ascii="仿宋_GB2312" w:hAnsi="仿宋" w:eastAsia="仿宋_GB2312"/>
          <w:sz w:val="32"/>
          <w:szCs w:val="32"/>
        </w:rPr>
        <w:t>；其中市本级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52</w:t>
      </w:r>
      <w:r>
        <w:rPr>
          <w:rFonts w:hint="eastAsia" w:ascii="仿宋_GB2312" w:hAnsi="仿宋" w:eastAsia="仿宋_GB2312"/>
          <w:sz w:val="32"/>
          <w:szCs w:val="32"/>
        </w:rPr>
        <w:t>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;富顺县4宗</w:t>
      </w:r>
      <w:r>
        <w:rPr>
          <w:rFonts w:hint="eastAsia" w:ascii="仿宋_GB2312" w:hAnsi="仿宋" w:eastAsia="仿宋_GB2312"/>
          <w:sz w:val="32"/>
          <w:szCs w:val="32"/>
        </w:rPr>
        <w:t>。项目交易额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0.33亿元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80EFEC6">
      <w:pPr>
        <w:numPr>
          <w:ilvl w:val="0"/>
          <w:numId w:val="0"/>
        </w:num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0" distR="0">
            <wp:extent cx="4638675" cy="3360420"/>
            <wp:effectExtent l="4445" t="4445" r="5080" b="13335"/>
            <wp:docPr id="25" name="图表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E894E"/>
    <w:multiLevelType w:val="singleLevel"/>
    <w:tmpl w:val="9CBE894E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E642211A"/>
    <w:multiLevelType w:val="singleLevel"/>
    <w:tmpl w:val="E642211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NTc5MWM3MmE0MmFiZGEwMzExMmI4ZTkxOTBiNjEifQ=="/>
  </w:docVars>
  <w:rsids>
    <w:rsidRoot w:val="001A4768"/>
    <w:rsid w:val="00010453"/>
    <w:rsid w:val="0001550F"/>
    <w:rsid w:val="0004214C"/>
    <w:rsid w:val="000475CA"/>
    <w:rsid w:val="000544C5"/>
    <w:rsid w:val="000A18B6"/>
    <w:rsid w:val="000B4D92"/>
    <w:rsid w:val="0012422D"/>
    <w:rsid w:val="00140DEC"/>
    <w:rsid w:val="001539A0"/>
    <w:rsid w:val="0019228D"/>
    <w:rsid w:val="001A4768"/>
    <w:rsid w:val="001C2C9C"/>
    <w:rsid w:val="001E4428"/>
    <w:rsid w:val="001F0C2B"/>
    <w:rsid w:val="00241098"/>
    <w:rsid w:val="00262B5D"/>
    <w:rsid w:val="00270F60"/>
    <w:rsid w:val="0029288E"/>
    <w:rsid w:val="002A299B"/>
    <w:rsid w:val="002C38EF"/>
    <w:rsid w:val="002D1A47"/>
    <w:rsid w:val="002E1F3A"/>
    <w:rsid w:val="002E60BE"/>
    <w:rsid w:val="003A0A19"/>
    <w:rsid w:val="003A2DAC"/>
    <w:rsid w:val="003C3288"/>
    <w:rsid w:val="003E0713"/>
    <w:rsid w:val="00402D3A"/>
    <w:rsid w:val="00432844"/>
    <w:rsid w:val="0048780C"/>
    <w:rsid w:val="00490329"/>
    <w:rsid w:val="00506725"/>
    <w:rsid w:val="00527E2A"/>
    <w:rsid w:val="00542C0F"/>
    <w:rsid w:val="005763BD"/>
    <w:rsid w:val="005908FF"/>
    <w:rsid w:val="00601E82"/>
    <w:rsid w:val="00610B55"/>
    <w:rsid w:val="00643E35"/>
    <w:rsid w:val="00662E0D"/>
    <w:rsid w:val="00671935"/>
    <w:rsid w:val="00680DD1"/>
    <w:rsid w:val="006844F0"/>
    <w:rsid w:val="00693874"/>
    <w:rsid w:val="006B16AE"/>
    <w:rsid w:val="006D08B2"/>
    <w:rsid w:val="006E554A"/>
    <w:rsid w:val="00700DE6"/>
    <w:rsid w:val="007341D9"/>
    <w:rsid w:val="007573FB"/>
    <w:rsid w:val="007653CE"/>
    <w:rsid w:val="007A49CA"/>
    <w:rsid w:val="007D37E2"/>
    <w:rsid w:val="00816F4C"/>
    <w:rsid w:val="00823A68"/>
    <w:rsid w:val="00864B5F"/>
    <w:rsid w:val="008767D0"/>
    <w:rsid w:val="008C4D3E"/>
    <w:rsid w:val="008F1E37"/>
    <w:rsid w:val="0093351E"/>
    <w:rsid w:val="00985434"/>
    <w:rsid w:val="009A7C00"/>
    <w:rsid w:val="009B5350"/>
    <w:rsid w:val="009C3644"/>
    <w:rsid w:val="00A23CFF"/>
    <w:rsid w:val="00A2510A"/>
    <w:rsid w:val="00A500B8"/>
    <w:rsid w:val="00A543DF"/>
    <w:rsid w:val="00AB4CA3"/>
    <w:rsid w:val="00AC1F43"/>
    <w:rsid w:val="00AE4D79"/>
    <w:rsid w:val="00AF173E"/>
    <w:rsid w:val="00B06593"/>
    <w:rsid w:val="00B31103"/>
    <w:rsid w:val="00B96CAC"/>
    <w:rsid w:val="00BF2311"/>
    <w:rsid w:val="00C02D29"/>
    <w:rsid w:val="00C34E75"/>
    <w:rsid w:val="00C40B13"/>
    <w:rsid w:val="00C53CB6"/>
    <w:rsid w:val="00C565F4"/>
    <w:rsid w:val="00C61B70"/>
    <w:rsid w:val="00C61FC5"/>
    <w:rsid w:val="00C62B0C"/>
    <w:rsid w:val="00C63376"/>
    <w:rsid w:val="00C97A94"/>
    <w:rsid w:val="00CA6C1D"/>
    <w:rsid w:val="00CF2441"/>
    <w:rsid w:val="00CF4B20"/>
    <w:rsid w:val="00D101D2"/>
    <w:rsid w:val="00D15253"/>
    <w:rsid w:val="00D4586C"/>
    <w:rsid w:val="00DB416A"/>
    <w:rsid w:val="00E22E9D"/>
    <w:rsid w:val="00E474A2"/>
    <w:rsid w:val="00E65BF2"/>
    <w:rsid w:val="00E727A3"/>
    <w:rsid w:val="00EE5EA6"/>
    <w:rsid w:val="00F20869"/>
    <w:rsid w:val="00F34AF6"/>
    <w:rsid w:val="00F40C6A"/>
    <w:rsid w:val="00F419B3"/>
    <w:rsid w:val="00F43111"/>
    <w:rsid w:val="00F62AE4"/>
    <w:rsid w:val="00F83873"/>
    <w:rsid w:val="00F97FDE"/>
    <w:rsid w:val="00FB52EE"/>
    <w:rsid w:val="00FC5BEC"/>
    <w:rsid w:val="00FD03FE"/>
    <w:rsid w:val="012B5AAA"/>
    <w:rsid w:val="01C42B8B"/>
    <w:rsid w:val="0243433D"/>
    <w:rsid w:val="0275224B"/>
    <w:rsid w:val="030959A0"/>
    <w:rsid w:val="03B07824"/>
    <w:rsid w:val="03B95D83"/>
    <w:rsid w:val="05E8390D"/>
    <w:rsid w:val="06B10496"/>
    <w:rsid w:val="077C00F5"/>
    <w:rsid w:val="095D1920"/>
    <w:rsid w:val="0AFF7B67"/>
    <w:rsid w:val="0DC0757C"/>
    <w:rsid w:val="0DC56929"/>
    <w:rsid w:val="0E771481"/>
    <w:rsid w:val="0EB46846"/>
    <w:rsid w:val="101A606C"/>
    <w:rsid w:val="119526C6"/>
    <w:rsid w:val="124473D0"/>
    <w:rsid w:val="12AB1006"/>
    <w:rsid w:val="12CC7AF2"/>
    <w:rsid w:val="12D64D63"/>
    <w:rsid w:val="13730106"/>
    <w:rsid w:val="138E5603"/>
    <w:rsid w:val="13CC1D73"/>
    <w:rsid w:val="140D6614"/>
    <w:rsid w:val="143664D8"/>
    <w:rsid w:val="159D092B"/>
    <w:rsid w:val="15BF734A"/>
    <w:rsid w:val="162437A1"/>
    <w:rsid w:val="165006DF"/>
    <w:rsid w:val="16972DA9"/>
    <w:rsid w:val="16C64858"/>
    <w:rsid w:val="175D1BF5"/>
    <w:rsid w:val="176E71E5"/>
    <w:rsid w:val="18456E05"/>
    <w:rsid w:val="19B117EF"/>
    <w:rsid w:val="1AAC0209"/>
    <w:rsid w:val="1AC8208F"/>
    <w:rsid w:val="1B9069C1"/>
    <w:rsid w:val="1BDA048E"/>
    <w:rsid w:val="1C03651D"/>
    <w:rsid w:val="1C096F2E"/>
    <w:rsid w:val="1C2A5889"/>
    <w:rsid w:val="1C2D254D"/>
    <w:rsid w:val="1C752FA8"/>
    <w:rsid w:val="1CC006D5"/>
    <w:rsid w:val="1CC90604"/>
    <w:rsid w:val="1D7D71A6"/>
    <w:rsid w:val="1DF2140B"/>
    <w:rsid w:val="1E591BA3"/>
    <w:rsid w:val="1F6A67BE"/>
    <w:rsid w:val="1F905DD0"/>
    <w:rsid w:val="1FA15E62"/>
    <w:rsid w:val="20903977"/>
    <w:rsid w:val="20A451DB"/>
    <w:rsid w:val="216B3C80"/>
    <w:rsid w:val="2203697F"/>
    <w:rsid w:val="22266AF2"/>
    <w:rsid w:val="22591B33"/>
    <w:rsid w:val="2292522B"/>
    <w:rsid w:val="229D0C0C"/>
    <w:rsid w:val="22A70880"/>
    <w:rsid w:val="23843155"/>
    <w:rsid w:val="23E944F0"/>
    <w:rsid w:val="244F7A97"/>
    <w:rsid w:val="24A73F1B"/>
    <w:rsid w:val="25D70334"/>
    <w:rsid w:val="27911A4D"/>
    <w:rsid w:val="28197DF3"/>
    <w:rsid w:val="285A3310"/>
    <w:rsid w:val="29096438"/>
    <w:rsid w:val="29361D11"/>
    <w:rsid w:val="29BD6D49"/>
    <w:rsid w:val="2A566214"/>
    <w:rsid w:val="2B08148B"/>
    <w:rsid w:val="2B51698E"/>
    <w:rsid w:val="2C5C66F6"/>
    <w:rsid w:val="2DAF544A"/>
    <w:rsid w:val="2DCA68F9"/>
    <w:rsid w:val="2DE77F32"/>
    <w:rsid w:val="2E0B2A2D"/>
    <w:rsid w:val="2E9D3CAF"/>
    <w:rsid w:val="2FF3270A"/>
    <w:rsid w:val="302C20AC"/>
    <w:rsid w:val="32213220"/>
    <w:rsid w:val="32332DE3"/>
    <w:rsid w:val="324B4A69"/>
    <w:rsid w:val="33114C55"/>
    <w:rsid w:val="336F654B"/>
    <w:rsid w:val="34A21B2F"/>
    <w:rsid w:val="357C76A0"/>
    <w:rsid w:val="35BF6BEA"/>
    <w:rsid w:val="35E6061B"/>
    <w:rsid w:val="36C1778B"/>
    <w:rsid w:val="39EF6808"/>
    <w:rsid w:val="3A345DF9"/>
    <w:rsid w:val="3B977CBF"/>
    <w:rsid w:val="3C797EB2"/>
    <w:rsid w:val="3CA16B81"/>
    <w:rsid w:val="3CE70FA1"/>
    <w:rsid w:val="3CF1348B"/>
    <w:rsid w:val="3D05582A"/>
    <w:rsid w:val="3DDE462C"/>
    <w:rsid w:val="3F2A5652"/>
    <w:rsid w:val="3F8D1DF7"/>
    <w:rsid w:val="40976E87"/>
    <w:rsid w:val="40A6100C"/>
    <w:rsid w:val="41A5308F"/>
    <w:rsid w:val="41DD55EC"/>
    <w:rsid w:val="42D542C2"/>
    <w:rsid w:val="43537473"/>
    <w:rsid w:val="43BC29BB"/>
    <w:rsid w:val="449B55D0"/>
    <w:rsid w:val="451630CA"/>
    <w:rsid w:val="456F75B7"/>
    <w:rsid w:val="45921F36"/>
    <w:rsid w:val="46031658"/>
    <w:rsid w:val="49381995"/>
    <w:rsid w:val="494C01F4"/>
    <w:rsid w:val="49711986"/>
    <w:rsid w:val="49F91B62"/>
    <w:rsid w:val="4B105AC6"/>
    <w:rsid w:val="4B904E89"/>
    <w:rsid w:val="4C2F6420"/>
    <w:rsid w:val="4CA20757"/>
    <w:rsid w:val="4CB5339B"/>
    <w:rsid w:val="4CD74010"/>
    <w:rsid w:val="4D913251"/>
    <w:rsid w:val="4DD252B5"/>
    <w:rsid w:val="4FBC20E2"/>
    <w:rsid w:val="4FF27E90"/>
    <w:rsid w:val="50D50306"/>
    <w:rsid w:val="51E657D3"/>
    <w:rsid w:val="533A3AC2"/>
    <w:rsid w:val="534F6BA6"/>
    <w:rsid w:val="53716D24"/>
    <w:rsid w:val="545A4256"/>
    <w:rsid w:val="547B428B"/>
    <w:rsid w:val="55084428"/>
    <w:rsid w:val="55340A97"/>
    <w:rsid w:val="55466588"/>
    <w:rsid w:val="56743063"/>
    <w:rsid w:val="57C1754D"/>
    <w:rsid w:val="57CC0ADA"/>
    <w:rsid w:val="58790192"/>
    <w:rsid w:val="597E4543"/>
    <w:rsid w:val="59D45112"/>
    <w:rsid w:val="59F75904"/>
    <w:rsid w:val="5A261275"/>
    <w:rsid w:val="5B8A2054"/>
    <w:rsid w:val="5DE476E4"/>
    <w:rsid w:val="5E1703BA"/>
    <w:rsid w:val="5EB12C47"/>
    <w:rsid w:val="5EB442E0"/>
    <w:rsid w:val="61637227"/>
    <w:rsid w:val="624F6EEF"/>
    <w:rsid w:val="62EE327E"/>
    <w:rsid w:val="630A4AC2"/>
    <w:rsid w:val="641D0D49"/>
    <w:rsid w:val="663C1A0D"/>
    <w:rsid w:val="66641213"/>
    <w:rsid w:val="671F0D5B"/>
    <w:rsid w:val="68235A1D"/>
    <w:rsid w:val="68656A71"/>
    <w:rsid w:val="68E1201D"/>
    <w:rsid w:val="6A303B47"/>
    <w:rsid w:val="6A987F7C"/>
    <w:rsid w:val="6AAE2B18"/>
    <w:rsid w:val="6AF755A5"/>
    <w:rsid w:val="6B737754"/>
    <w:rsid w:val="6BB55589"/>
    <w:rsid w:val="6CB947C1"/>
    <w:rsid w:val="6D1871B2"/>
    <w:rsid w:val="6D3564FB"/>
    <w:rsid w:val="6D643A97"/>
    <w:rsid w:val="6F0D3BBF"/>
    <w:rsid w:val="6F3C6A8F"/>
    <w:rsid w:val="6F71097A"/>
    <w:rsid w:val="6F901C8B"/>
    <w:rsid w:val="6FAB1A3E"/>
    <w:rsid w:val="70832F22"/>
    <w:rsid w:val="73A711B1"/>
    <w:rsid w:val="759A30E2"/>
    <w:rsid w:val="75BE094C"/>
    <w:rsid w:val="76C375E1"/>
    <w:rsid w:val="771D748C"/>
    <w:rsid w:val="787053ED"/>
    <w:rsid w:val="78EB4D7D"/>
    <w:rsid w:val="79C95770"/>
    <w:rsid w:val="79D8521D"/>
    <w:rsid w:val="7AE00762"/>
    <w:rsid w:val="7B9854E0"/>
    <w:rsid w:val="7D7F24B4"/>
    <w:rsid w:val="7E342E45"/>
    <w:rsid w:val="7EED169F"/>
    <w:rsid w:val="7EF0118F"/>
    <w:rsid w:val="7F546B4E"/>
    <w:rsid w:val="7F852613"/>
    <w:rsid w:val="7F9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7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autoRedefine/>
    <w:qFormat/>
    <w:uiPriority w:val="20"/>
    <w:rPr>
      <w:b/>
      <w:bCs/>
    </w:rPr>
  </w:style>
  <w:style w:type="character" w:styleId="14">
    <w:name w:val="HTML Definition"/>
    <w:basedOn w:val="10"/>
    <w:autoRedefine/>
    <w:semiHidden/>
    <w:unhideWhenUsed/>
    <w:qFormat/>
    <w:uiPriority w:val="99"/>
  </w:style>
  <w:style w:type="character" w:styleId="15">
    <w:name w:val="HTML Typewriter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autoRedefine/>
    <w:semiHidden/>
    <w:unhideWhenUsed/>
    <w:qFormat/>
    <w:uiPriority w:val="99"/>
  </w:style>
  <w:style w:type="character" w:styleId="17">
    <w:name w:val="HTML Variable"/>
    <w:basedOn w:val="10"/>
    <w:autoRedefine/>
    <w:semiHidden/>
    <w:unhideWhenUsed/>
    <w:qFormat/>
    <w:uiPriority w:val="99"/>
  </w:style>
  <w:style w:type="character" w:styleId="18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HTML Code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autoRedefine/>
    <w:semiHidden/>
    <w:unhideWhenUsed/>
    <w:qFormat/>
    <w:uiPriority w:val="99"/>
  </w:style>
  <w:style w:type="character" w:styleId="21">
    <w:name w:val="HTML Keyboard"/>
    <w:basedOn w:val="10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autoRedefine/>
    <w:semiHidden/>
    <w:unhideWhenUsed/>
    <w:qFormat/>
    <w:uiPriority w:val="99"/>
    <w:rPr>
      <w:rFonts w:ascii="monospace" w:hAnsi="monospace" w:eastAsia="monospace" w:cs="monospac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25">
    <w:name w:val="页脚 字符"/>
    <w:basedOn w:val="10"/>
    <w:link w:val="4"/>
    <w:autoRedefine/>
    <w:qFormat/>
    <w:uiPriority w:val="99"/>
    <w:rPr>
      <w:sz w:val="18"/>
      <w:szCs w:val="18"/>
    </w:rPr>
  </w:style>
  <w:style w:type="character" w:customStyle="1" w:styleId="26">
    <w:name w:val="标题 1 字符"/>
    <w:basedOn w:val="10"/>
    <w:link w:val="2"/>
    <w:autoRedefine/>
    <w:qFormat/>
    <w:uiPriority w:val="9"/>
    <w:rPr>
      <w:b/>
      <w:bCs/>
      <w:kern w:val="44"/>
      <w:sz w:val="44"/>
      <w:szCs w:val="44"/>
    </w:rPr>
  </w:style>
  <w:style w:type="paragraph" w:customStyle="1" w:styleId="27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hart" Target="charts/chart15.xml"/><Relationship Id="rId17" Type="http://schemas.openxmlformats.org/officeDocument/2006/relationships/chart" Target="charts/chart14.xml"/><Relationship Id="rId16" Type="http://schemas.openxmlformats.org/officeDocument/2006/relationships/chart" Target="charts/chart13.xml"/><Relationship Id="rId15" Type="http://schemas.openxmlformats.org/officeDocument/2006/relationships/chart" Target="charts/chart12.xml"/><Relationship Id="rId14" Type="http://schemas.openxmlformats.org/officeDocument/2006/relationships/chart" Target="charts/chart11.xml"/><Relationship Id="rId13" Type="http://schemas.openxmlformats.org/officeDocument/2006/relationships/chart" Target="charts/chart10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microsoft.com/office/2011/relationships/chartStyle" Target="style10.xml"/><Relationship Id="rId1" Type="http://schemas.openxmlformats.org/officeDocument/2006/relationships/package" Target="../embeddings/Workbook10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package" Target="../embeddings/Workbook9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microsoft.com/office/2011/relationships/chartStyle" Target="style15.xml"/><Relationship Id="rId1" Type="http://schemas.openxmlformats.org/officeDocument/2006/relationships/package" Target="../embeddings/Workbook15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microsoft.com/office/2011/relationships/chartStyle" Target="style11.xml"/><Relationship Id="rId1" Type="http://schemas.openxmlformats.org/officeDocument/2006/relationships/package" Target="../embeddings/Workbook11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microsoft.com/office/2011/relationships/chartStyle" Target="style14.xml"/><Relationship Id="rId1" Type="http://schemas.openxmlformats.org/officeDocument/2006/relationships/package" Target="../embeddings/Workbook14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microsoft.com/office/2011/relationships/chartStyle" Target="style12.xml"/><Relationship Id="rId1" Type="http://schemas.openxmlformats.org/officeDocument/2006/relationships/package" Target="../embeddings/Workbook12.xlsx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microsoft.com/office/2011/relationships/chartStyle" Target="style13.xml"/><Relationship Id="rId1" Type="http://schemas.openxmlformats.org/officeDocument/2006/relationships/package" Target="../embeddings/Workbook13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package" Target="../embeddings/Workbook8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7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2024</a:t>
            </a:r>
            <a:r>
              <a:rPr lang="zh-CN" altLang="en-US"/>
              <a:t>年第一季度与</a:t>
            </a:r>
            <a:r>
              <a:rPr lang="en-US" altLang="zh-CN"/>
              <a:t>2024</a:t>
            </a:r>
            <a:r>
              <a:rPr lang="zh-CN" altLang="en-US"/>
              <a:t>年第二季度交易总数对比</a:t>
            </a:r>
            <a:endParaRPr lang="zh-CN" altLang="en-US"/>
          </a:p>
        </c:rich>
      </c:tx>
      <c:layout>
        <c:manualLayout>
          <c:xMode val="edge"/>
          <c:yMode val="edge"/>
          <c:x val="0.117527649447011"/>
          <c:y val="0.021857923497267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2024年第二季度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256</c:v>
                </c:pt>
                <c:pt idx="1" c:formatCode="#,##0.00">
                  <c:v>33.87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2024年第三季度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交易项目（宗）</c:v>
                </c:pt>
                <c:pt idx="1">
                  <c:v>交易额（亿元）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245</c:v>
                </c:pt>
                <c:pt idx="1" c:formatCode="#,##0.00">
                  <c:v>27.26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7957424"/>
        <c:axId val="1227966128"/>
      </c:barChart>
      <c:catAx>
        <c:axId val="1227957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66128"/>
        <c:crosses val="autoZero"/>
        <c:auto val="1"/>
        <c:lblAlgn val="ctr"/>
        <c:lblOffset val="100"/>
        <c:noMultiLvlLbl val="0"/>
      </c:catAx>
      <c:valAx>
        <c:axId val="12279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574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tr"/>
      <c:layout/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6fa8b22-44e3-41d5-b06c-db3c68744b2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dist"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  <c:pt idx="4">
                  <c:v>单一来源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14</c:v>
                </c:pt>
                <c:pt idx="1">
                  <c:v>24</c:v>
                </c:pt>
                <c:pt idx="2">
                  <c:v>18</c:v>
                </c:pt>
                <c:pt idx="3">
                  <c:v>8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0720"/>
        <c:axId val="1146491264"/>
      </c:barChart>
      <c:catAx>
        <c:axId val="114649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1264"/>
        <c:crosses val="autoZero"/>
        <c:auto val="1"/>
        <c:lblAlgn val="ctr"/>
        <c:lblOffset val="100"/>
        <c:noMultiLvlLbl val="0"/>
      </c:catAx>
      <c:valAx>
        <c:axId val="1146491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07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4a06e03-2495-4dba-9491-a592ab83538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采购方式交易额分布图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交易额(亿元)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Sheet1!$A$2:$A$6</c:f>
              <c:strCache>
                <c:ptCount val="5"/>
                <c:pt idx="0">
                  <c:v>公开招标</c:v>
                </c:pt>
                <c:pt idx="1">
                  <c:v>竞争性磋商</c:v>
                </c:pt>
                <c:pt idx="2">
                  <c:v>竞争性谈判</c:v>
                </c:pt>
                <c:pt idx="3">
                  <c:v>询价</c:v>
                </c:pt>
                <c:pt idx="4">
                  <c:v>单一来源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0.42</c:v>
                </c:pt>
                <c:pt idx="1">
                  <c:v>0.62</c:v>
                </c:pt>
                <c:pt idx="2">
                  <c:v>0.2</c:v>
                </c:pt>
                <c:pt idx="3">
                  <c:v>0.05</c:v>
                </c:pt>
                <c:pt idx="4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496704"/>
        <c:axId val="1146519552"/>
      </c:barChart>
      <c:catAx>
        <c:axId val="114649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9552"/>
        <c:crosses val="autoZero"/>
        <c:auto val="1"/>
        <c:lblAlgn val="ctr"/>
        <c:lblOffset val="100"/>
        <c:noMultiLvlLbl val="0"/>
      </c:catAx>
      <c:valAx>
        <c:axId val="114651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67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25e2def-d488-4033-b6e0-74e385affb4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行政区域项目数分布图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项目数(宗)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市本级</c:v>
                </c:pt>
                <c:pt idx="1">
                  <c:v>贡井区</c:v>
                </c:pt>
                <c:pt idx="2">
                  <c:v>沿滩区</c:v>
                </c:pt>
                <c:pt idx="3">
                  <c:v>大安区</c:v>
                </c:pt>
                <c:pt idx="4">
                  <c:v>荣县</c:v>
                </c:pt>
                <c:pt idx="5">
                  <c:v>富顺县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41</c:v>
                </c:pt>
                <c:pt idx="1">
                  <c:v>5</c:v>
                </c:pt>
                <c:pt idx="2">
                  <c:v>3</c:v>
                </c:pt>
                <c:pt idx="3">
                  <c:v>7</c:v>
                </c:pt>
                <c:pt idx="4">
                  <c:v>8</c:v>
                </c:pt>
                <c:pt idx="5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0096"/>
        <c:axId val="1146492352"/>
      </c:barChart>
      <c:catAx>
        <c:axId val="114652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2352"/>
        <c:crosses val="autoZero"/>
        <c:auto val="1"/>
        <c:lblAlgn val="ctr"/>
        <c:lblOffset val="100"/>
        <c:noMultiLvlLbl val="0"/>
      </c:catAx>
      <c:valAx>
        <c:axId val="114649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00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383962b9-e9c4-46e5-9c0f-04ab648bf4f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行政区域交易额分布图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交易额(万元)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elete val="1"/>
          </c:dLbls>
          <c:cat>
            <c:strRef>
              <c:f>Sheet1!$A$2:$A$7</c:f>
              <c:strCache>
                <c:ptCount val="6"/>
                <c:pt idx="0">
                  <c:v>市本级</c:v>
                </c:pt>
                <c:pt idx="1">
                  <c:v>贡井区</c:v>
                </c:pt>
                <c:pt idx="2">
                  <c:v>沿滩区</c:v>
                </c:pt>
                <c:pt idx="3">
                  <c:v>大安区</c:v>
                </c:pt>
                <c:pt idx="4">
                  <c:v>荣县</c:v>
                </c:pt>
                <c:pt idx="5">
                  <c:v>富顺县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1.05</c:v>
                </c:pt>
                <c:pt idx="1">
                  <c:v>0.03</c:v>
                </c:pt>
                <c:pt idx="2">
                  <c:v>0.02</c:v>
                </c:pt>
                <c:pt idx="3">
                  <c:v>0.13</c:v>
                </c:pt>
                <c:pt idx="4">
                  <c:v>0.06</c:v>
                </c:pt>
                <c:pt idx="5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6521728"/>
        <c:axId val="1146516288"/>
      </c:barChart>
      <c:catAx>
        <c:axId val="1146521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6288"/>
        <c:crosses val="autoZero"/>
        <c:auto val="1"/>
        <c:lblAlgn val="ctr"/>
        <c:lblOffset val="100"/>
        <c:noMultiLvlLbl val="0"/>
      </c:catAx>
      <c:valAx>
        <c:axId val="114651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217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cd5d5a8-127e-4dea-b78f-91feeb42483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土地交易</a:t>
            </a:r>
            <a:r>
              <a:rPr lang="en-US" altLang="zh-CN"/>
              <a:t>2024</a:t>
            </a:r>
            <a:r>
              <a:rPr lang="zh-CN" altLang="en-US"/>
              <a:t>年第二季度与</a:t>
            </a:r>
            <a:r>
              <a:rPr lang="en-US" altLang="zh-CN"/>
              <a:t>2024</a:t>
            </a:r>
            <a:r>
              <a:rPr altLang="en-US"/>
              <a:t>第三季度</a:t>
            </a:r>
            <a:endParaRPr lang="en-US" altLang="zh-CN"/>
          </a:p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2024年第二季度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土地面积（亩）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6.58</c:v>
                </c:pt>
                <c:pt idx="1">
                  <c:v>849.732705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2024年第三季度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土地面积（亩）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0.17</c:v>
                </c:pt>
                <c:pt idx="1">
                  <c:v>121.4799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499424"/>
        <c:axId val="1146508128"/>
      </c:barChart>
      <c:catAx>
        <c:axId val="114649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8128"/>
        <c:crosses val="autoZero"/>
        <c:auto val="1"/>
        <c:lblAlgn val="ctr"/>
        <c:lblOffset val="100"/>
        <c:noMultiLvlLbl val="0"/>
      </c:catAx>
      <c:valAx>
        <c:axId val="114650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499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5308006817873"/>
          <c:y val="0.245443919510061"/>
          <c:w val="0.210163440725288"/>
          <c:h val="0.15000104986876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a1acf76b-2935-4020-82ef-0007ef7b2ff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国有产权</a:t>
            </a:r>
            <a:r>
              <a:rPr lang="en-US" altLang="zh-CN"/>
              <a:t>2024</a:t>
            </a:r>
            <a:r>
              <a:rPr lang="zh-CN" altLang="en-US"/>
              <a:t>年第二季度与</a:t>
            </a:r>
            <a:r>
              <a:rPr lang="en-US" altLang="zh-CN"/>
              <a:t>2024</a:t>
            </a:r>
            <a:r>
              <a:rPr lang="zh-CN" altLang="en-US"/>
              <a:t>年第三季度</a:t>
            </a:r>
            <a:endParaRPr lang="en-US" altLang="zh-CN"/>
          </a:p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对比图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2024年第二季度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0.19</c:v>
                </c:pt>
                <c:pt idx="1">
                  <c:v>48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2024年第三季度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0.33</c:v>
                </c:pt>
                <c:pt idx="1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46515744"/>
        <c:axId val="1146509760"/>
      </c:barChart>
      <c:catAx>
        <c:axId val="1146515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9760"/>
        <c:crosses val="autoZero"/>
        <c:auto val="1"/>
        <c:lblAlgn val="ctr"/>
        <c:lblOffset val="100"/>
        <c:noMultiLvlLbl val="0"/>
      </c:catAx>
      <c:valAx>
        <c:axId val="114650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57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498874b1-c576-4ffb-bc3c-c73ecd8533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267427122940431"/>
                  <c:y val="-0.00808823529411765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219518377693283"/>
                  <c:y val="0.078921568627451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141951837769328"/>
                  <c:y val="0.0517156862745098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6970849176172"/>
                      <c:h val="0.19117647058823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385804816223067"/>
                  <c:y val="0.0950980392156863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建设工程</c:v>
                </c:pt>
                <c:pt idx="1">
                  <c:v>政府集中采购</c:v>
                </c:pt>
                <c:pt idx="2">
                  <c:v>土地使用权</c:v>
                </c:pt>
                <c:pt idx="3">
                  <c:v>国有产权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25.45</c:v>
                </c:pt>
                <c:pt idx="1">
                  <c:v>1.31</c:v>
                </c:pt>
                <c:pt idx="2">
                  <c:v>0.17</c:v>
                </c:pt>
                <c:pt idx="3">
                  <c:v>0.33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81098f5-1646-4acd-a030-d82ba3ff7ae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交易项目宗数比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119521912350598"/>
                  <c:y val="0.19242979242979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0440903054448871"/>
                  <c:y val="0.029792429792429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建设工程</c:v>
                </c:pt>
                <c:pt idx="1">
                  <c:v>政府集中采购</c:v>
                </c:pt>
                <c:pt idx="2">
                  <c:v>土地使用权</c:v>
                </c:pt>
                <c:pt idx="3">
                  <c:v>国有产权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120</c:v>
                </c:pt>
                <c:pt idx="1">
                  <c:v>66</c:v>
                </c:pt>
                <c:pt idx="2">
                  <c:v>3</c:v>
                </c:pt>
                <c:pt idx="3">
                  <c:v>56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5718a473-2e38-44fc-adec-7c23e3571e4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26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zh-CN" altLang="en-US" sz="1260"/>
              <a:t>建设工程</a:t>
            </a:r>
            <a:r>
              <a:rPr lang="en-US" altLang="zh-CN" sz="1260"/>
              <a:t>2024</a:t>
            </a:r>
            <a:r>
              <a:rPr lang="zh-CN" altLang="en-US" sz="1260"/>
              <a:t>年第一季度与</a:t>
            </a:r>
            <a:r>
              <a:rPr lang="en-US" altLang="zh-CN" sz="1260"/>
              <a:t>2024</a:t>
            </a:r>
            <a:r>
              <a:rPr lang="zh-CN" altLang="en-US" sz="1260"/>
              <a:t>年第二季度对比图</a:t>
            </a:r>
            <a:endParaRPr lang="zh-CN" altLang="en-US" sz="126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2024年第二季度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Sheet1!$B$2:$B$3</c:f>
              <c:numCache>
                <c:formatCode>#,##0.00</c:formatCode>
                <c:ptCount val="2"/>
                <c:pt idx="0">
                  <c:v>25.27</c:v>
                </c:pt>
                <c:pt idx="1" c:formatCode="General">
                  <c:v>148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2024年第三季度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交易额（亿元）</c:v>
                </c:pt>
                <c:pt idx="1">
                  <c:v>交易项目（宗）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25.45</c:v>
                </c:pt>
                <c:pt idx="1">
                  <c:v>120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7974288"/>
        <c:axId val="1227975920"/>
      </c:barChart>
      <c:catAx>
        <c:axId val="122797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5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5920"/>
        <c:crosses val="autoZero"/>
        <c:auto val="1"/>
        <c:lblAlgn val="ctr"/>
        <c:lblOffset val="100"/>
        <c:noMultiLvlLbl val="0"/>
      </c:catAx>
      <c:valAx>
        <c:axId val="122797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22797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845850340136054"/>
          <c:y val="0.0854928017718716"/>
          <c:w val="0.141224489795918"/>
          <c:h val="0.34462901439645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03e0746-64df-465b-8970-16323d9e578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05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交易类别金额比</a:t>
            </a:r>
          </a:p>
        </c:rich>
      </c:tx>
      <c:layout>
        <c:manualLayout>
          <c:xMode val="edge"/>
          <c:yMode val="edge"/>
          <c:x val="0.227703470399533"/>
          <c:y val="0.03319502074688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7832582404553"/>
          <c:y val="0.246746746746747"/>
          <c:w val="0.626037467393882"/>
          <c:h val="0.66066066066066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交易项目金额比</c:v>
                </c:pt>
              </c:strCache>
            </c:strRef>
          </c:tx>
          <c:spPr/>
          <c:explosion val="4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explosion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explosion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explosion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0211050509841119"/>
                  <c:y val="0.016766766766766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房建</c:v>
                </c:pt>
                <c:pt idx="1">
                  <c:v>市政</c:v>
                </c:pt>
                <c:pt idx="2">
                  <c:v>交通工程</c:v>
                </c:pt>
                <c:pt idx="3">
                  <c:v>水利</c:v>
                </c:pt>
                <c:pt idx="4">
                  <c:v>其他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11</c:v>
                </c:pt>
                <c:pt idx="1">
                  <c:v>9.4</c:v>
                </c:pt>
                <c:pt idx="2">
                  <c:v>1.04</c:v>
                </c:pt>
                <c:pt idx="3">
                  <c:v>1.22</c:v>
                </c:pt>
                <c:pt idx="4">
                  <c:v>2.8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ddbc0326-120b-491f-aa93-e078ce2286f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交易类别项目分布</a:t>
            </a:r>
          </a:p>
        </c:rich>
      </c:tx>
      <c:layout>
        <c:manualLayout>
          <c:xMode val="edge"/>
          <c:yMode val="edge"/>
          <c:x val="0.169510664993726"/>
          <c:y val="0.0106653123412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220075282308657"/>
          <c:y val="0.239715591670899"/>
          <c:w val="0.62961104140527"/>
          <c:h val="0.63712544438801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交易项目宗数比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"/>
                  <c:y val="0.0337734890807517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2308657465496"/>
                      <c:h val="0.198070086338243"/>
                    </c:manualLayout>
                  </c15:layout>
                </c:ext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0170639899623588"/>
                  <c:y val="0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77038895859473"/>
                      <c:h val="0.13712544438801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05897114178168"/>
                  <c:y val="0.1467750126968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64617314930991"/>
                  <c:y val="0.078974098527171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7503136762861"/>
                      <c:h val="0.19807008633824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房建</c:v>
                </c:pt>
                <c:pt idx="1">
                  <c:v>市政</c:v>
                </c:pt>
                <c:pt idx="2">
                  <c:v>交通工程</c:v>
                </c:pt>
                <c:pt idx="3">
                  <c:v>水利</c:v>
                </c:pt>
                <c:pt idx="4">
                  <c:v>其他项目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32</c:v>
                </c:pt>
                <c:pt idx="1">
                  <c:v>41</c:v>
                </c:pt>
                <c:pt idx="2">
                  <c:v>11</c:v>
                </c:pt>
                <c:pt idx="3">
                  <c:v>11</c:v>
                </c:pt>
                <c:pt idx="4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6efb6e4-2dc6-4d5b-a58c-869200e901a8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全市建设工程项目区域分布</a:t>
            </a:r>
          </a:p>
        </c:rich>
      </c:tx>
      <c:layout>
        <c:manualLayout>
          <c:xMode val="edge"/>
          <c:yMode val="edge"/>
          <c:x val="0.255289231622967"/>
          <c:y val="0.004124561765312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全市建设工程项目区域分布
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市本级</c:v>
                </c:pt>
                <c:pt idx="1">
                  <c:v>富顺县</c:v>
                </c:pt>
                <c:pt idx="2">
                  <c:v>荣县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67</c:v>
                </c:pt>
                <c:pt idx="1">
                  <c:v>25</c:v>
                </c:pt>
                <c:pt idx="2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0ed6e73-a4ec-4217-aa80-004f1483dfe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全市建设工程项目区域金额比</a:t>
            </a:r>
          </a:p>
        </c:rich>
      </c:tx>
      <c:layout>
        <c:manualLayout>
          <c:xMode val="edge"/>
          <c:yMode val="edge"/>
          <c:x val="0.24096003689915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760436314282"/>
          <c:y val="0.177450980392157"/>
          <c:w val="0.784790874524715"/>
          <c:h val="0.75882352941176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全市建设工程项目区域金额比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市本级</c:v>
                </c:pt>
                <c:pt idx="1">
                  <c:v>富顺县</c:v>
                </c:pt>
                <c:pt idx="2">
                  <c:v>荣县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14.89</c:v>
                </c:pt>
                <c:pt idx="1">
                  <c:v>5.38</c:v>
                </c:pt>
                <c:pt idx="2">
                  <c:v>5.18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6818e336-9855-48e8-bb74-0517a0b08e6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6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黑体" panose="02010609060101010101" charset="-122"/>
                <a:ea typeface="黑体" panose="02010609060101010101" charset="-122"/>
                <a:cs typeface="+mn-cs"/>
              </a:rPr>
              <a:t>政府集中采购</a:t>
            </a:r>
            <a:r>
              <a:rPr lang="en-US" b="0">
                <a:latin typeface="黑体" panose="02010609060101010101" charset="-122"/>
                <a:ea typeface="黑体" panose="02010609060101010101" charset="-122"/>
              </a:rPr>
              <a:t>2024</a:t>
            </a: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年第二季度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与</a:t>
            </a:r>
            <a:r>
              <a:rPr lang="en-US" altLang="zh-CN" b="0">
                <a:latin typeface="黑体" panose="02010609060101010101" charset="-122"/>
                <a:ea typeface="黑体" panose="02010609060101010101" charset="-122"/>
              </a:rPr>
              <a:t>2024</a:t>
            </a:r>
            <a:r>
              <a:rPr lang="zh-CN" altLang="en-US" b="0">
                <a:latin typeface="黑体" panose="02010609060101010101" charset="-122"/>
                <a:ea typeface="黑体" panose="02010609060101010101" charset="-122"/>
              </a:rPr>
              <a:t>年第三季度</a:t>
            </a:r>
            <a:endParaRPr lang="en-US" altLang="zh-CN" b="0">
              <a:latin typeface="黑体" panose="02010609060101010101" charset="-122"/>
              <a:ea typeface="黑体" panose="02010609060101010101" charset="-122"/>
            </a:endParaRPr>
          </a:p>
          <a:p>
            <a:pPr>
              <a:defRPr lang="zh-CN"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b="0">
                <a:latin typeface="黑体" panose="02010609060101010101" charset="-122"/>
                <a:ea typeface="黑体" panose="02010609060101010101" charset="-122"/>
              </a:rPr>
              <a:t>对比图</a:t>
            </a:r>
            <a:endParaRPr lang="zh-CN" b="0">
              <a:latin typeface="黑体" panose="02010609060101010101" charset="-122"/>
              <a:ea typeface="黑体" panose="0201060906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2024年第二季度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交易额(亿元)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48</c:v>
                </c:pt>
                <c:pt idx="1" c:formatCode="#,##0.00">
                  <c:v>1.82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2024年第三季度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项目数(宗)</c:v>
                </c:pt>
                <c:pt idx="1">
                  <c:v>交易额(亿元)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66</c:v>
                </c:pt>
                <c:pt idx="1" c:formatCode="#,##0.00">
                  <c:v>1.31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46502144"/>
        <c:axId val="1146511936"/>
      </c:barChart>
      <c:catAx>
        <c:axId val="1146502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11936"/>
        <c:crosses val="autoZero"/>
        <c:auto val="1"/>
        <c:lblAlgn val="ctr"/>
        <c:lblOffset val="100"/>
        <c:noMultiLvlLbl val="0"/>
      </c:catAx>
      <c:valAx>
        <c:axId val="11465119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14650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e6241da-b14d-45be-bf99-1adf84b88226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1008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1074</Words>
  <Characters>1334</Characters>
  <Lines>6</Lines>
  <Paragraphs>4</Paragraphs>
  <TotalTime>6</TotalTime>
  <ScaleCrop>false</ScaleCrop>
  <LinksUpToDate>false</LinksUpToDate>
  <CharactersWithSpaces>1347</CharactersWithSpaces>
  <Application>WPS Office_12.1.0.18912_F1E327BC-269C-435d-A152-05C5408002CA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2023-04-14T01:49:00Z</dcterms:created>
  <dc:creator>邓斌</dc:creator>
  <cp:lastModifiedBy>贺文瀚</cp:lastModifiedBy>
  <dcterms:modified xsi:type="dcterms:W3CDTF">2024-11-25T08:36:47Z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9BA20A2E87834A09BD8E61C1B4313108_13</vt:lpwstr>
  </property>
</Properties>
</file>