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13.xml" ContentType="application/vnd.ms-office.chartcolorstyle+xml"/>
  <Override PartName="/word/charts/colors14.xml" ContentType="application/vnd.ms-office.chartcolorstyle+xml"/>
  <Override PartName="/word/charts/colors15.xml" ContentType="application/vnd.ms-office.chartcolorstyle+xml"/>
  <Override PartName="/word/charts/colors16.xml" ContentType="application/vnd.ms-office.chartcolorstyle+xml"/>
  <Override PartName="/word/charts/colors17.xml" ContentType="application/vnd.ms-office.chartcolorstyle+xml"/>
  <Override PartName="/word/charts/colors18.xml" ContentType="application/vnd.ms-office.chartcolorstyle+xml"/>
  <Override PartName="/word/charts/colors19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13.xml" ContentType="application/vnd.ms-office.chartstyle+xml"/>
  <Override PartName="/word/charts/style14.xml" ContentType="application/vnd.ms-office.chartstyle+xml"/>
  <Override PartName="/word/charts/style15.xml" ContentType="application/vnd.ms-office.chartstyle+xml"/>
  <Override PartName="/word/charts/style16.xml" ContentType="application/vnd.ms-office.chartstyle+xml"/>
  <Override PartName="/word/charts/style17.xml" ContentType="application/vnd.ms-office.chartstyle+xml"/>
  <Override PartName="/word/charts/style18.xml" ContentType="application/vnd.ms-office.chartstyle+xml"/>
  <Override PartName="/word/charts/style19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12B3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</w:p>
    <w:p w14:paraId="4169E5E2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2025年第三季度</w:t>
      </w:r>
      <w:r>
        <w:rPr>
          <w:rFonts w:hint="eastAsia" w:ascii="方正小标宋简体" w:hAnsi="微软雅黑" w:eastAsia="方正小标宋简体"/>
          <w:sz w:val="44"/>
          <w:szCs w:val="44"/>
        </w:rPr>
        <w:t>交易数据</w:t>
      </w:r>
    </w:p>
    <w:p w14:paraId="2A06ADEC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 w14:paraId="299047FD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统</w:t>
      </w:r>
    </w:p>
    <w:p w14:paraId="13C52DB3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计</w:t>
      </w:r>
    </w:p>
    <w:p w14:paraId="7B867F1B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分</w:t>
      </w:r>
    </w:p>
    <w:p w14:paraId="7A8500F4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析</w:t>
      </w:r>
    </w:p>
    <w:p w14:paraId="1BB3A6A1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报</w:t>
      </w:r>
    </w:p>
    <w:p w14:paraId="5BE15C31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告</w:t>
      </w:r>
    </w:p>
    <w:p w14:paraId="6E48E821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 w14:paraId="44D0F6F1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自贡市公共资源交易服务中心</w:t>
      </w:r>
    </w:p>
    <w:p w14:paraId="7A75D66D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年10</w:t>
      </w:r>
      <w:r>
        <w:rPr>
          <w:rFonts w:hint="eastAsia" w:ascii="方正小标宋简体" w:hAnsi="微软雅黑" w:eastAsia="方正小标宋简体"/>
          <w:sz w:val="44"/>
          <w:szCs w:val="44"/>
        </w:rPr>
        <w:t>月</w:t>
      </w:r>
      <w:r>
        <w:rPr>
          <w:rFonts w:ascii="仿宋" w:hAnsi="仿宋" w:eastAsia="仿宋"/>
          <w:sz w:val="32"/>
          <w:szCs w:val="32"/>
        </w:rPr>
        <w:br w:type="page"/>
      </w:r>
    </w:p>
    <w:p w14:paraId="5BD9C03D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自贡市公共资源交易服务中心</w:t>
      </w:r>
    </w:p>
    <w:p w14:paraId="4E7DC83C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2025年第三季度</w:t>
      </w:r>
      <w:r>
        <w:rPr>
          <w:rFonts w:hint="eastAsia" w:ascii="方正小标宋简体" w:hAnsi="仿宋" w:eastAsia="方正小标宋简体"/>
          <w:sz w:val="44"/>
          <w:szCs w:val="44"/>
        </w:rPr>
        <w:t>交易数据统计分析报告</w:t>
      </w:r>
      <w:bookmarkStart w:id="0" w:name="_Toc72240300"/>
    </w:p>
    <w:p w14:paraId="01ABAB64">
      <w:pPr>
        <w:spacing w:line="560" w:lineRule="exact"/>
        <w:jc w:val="left"/>
        <w:rPr>
          <w:rFonts w:ascii="方正小标宋简体" w:hAnsi="仿宋" w:eastAsia="方正小标宋简体"/>
          <w:sz w:val="44"/>
          <w:szCs w:val="44"/>
        </w:rPr>
      </w:pPr>
      <w:r>
        <w:rPr>
          <w:rFonts w:ascii="黑体" w:hAnsi="黑体" w:eastAsia="黑体"/>
          <w:sz w:val="32"/>
          <w:szCs w:val="32"/>
        </w:rPr>
        <w:t>一</w:t>
      </w:r>
      <w:r>
        <w:rPr>
          <w:rFonts w:hint="eastAsia" w:ascii="黑体" w:hAnsi="黑体" w:eastAsia="黑体"/>
          <w:sz w:val="32"/>
          <w:szCs w:val="32"/>
        </w:rPr>
        <w:t>、交易概况</w:t>
      </w:r>
      <w:bookmarkEnd w:id="0"/>
    </w:p>
    <w:p w14:paraId="34389CBA"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（一）总体情况。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</w:rPr>
        <w:t>全市完成公共资源交易项目（含工程建设、政府采购、土地出让、产权交易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其他交易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204</w:t>
      </w:r>
      <w:r>
        <w:rPr>
          <w:rFonts w:hint="eastAsia" w:ascii="仿宋_GB2312" w:hAnsi="仿宋" w:eastAsia="仿宋_GB2312"/>
          <w:sz w:val="32"/>
          <w:szCs w:val="32"/>
        </w:rPr>
        <w:t>宗，与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季度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同比下降16.73</w:t>
      </w:r>
      <w:r>
        <w:rPr>
          <w:rFonts w:hint="eastAsia" w:ascii="仿宋_GB2312" w:hAnsi="仿宋" w:eastAsia="仿宋_GB2312"/>
          <w:sz w:val="32"/>
          <w:szCs w:val="32"/>
        </w:rPr>
        <w:t>%；交易总额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37.78亿</w:t>
      </w:r>
      <w:r>
        <w:rPr>
          <w:rFonts w:hint="eastAsia" w:ascii="仿宋_GB2312" w:hAnsi="仿宋" w:eastAsia="仿宋_GB2312"/>
          <w:sz w:val="32"/>
          <w:szCs w:val="32"/>
        </w:rPr>
        <w:t>元，与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4年第三季度同比上升38.59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B1BC9E1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535805" cy="3253740"/>
            <wp:effectExtent l="0" t="0" r="17145" b="381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</w:p>
    <w:p w14:paraId="48CFCD38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（二）项目分布</w:t>
      </w:r>
    </w:p>
    <w:p w14:paraId="4A542DB3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在交易项目数量方面，建设工程以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hAnsi="仿宋" w:eastAsia="仿宋_GB2312"/>
          <w:sz w:val="32"/>
          <w:szCs w:val="32"/>
        </w:rPr>
        <w:t>宗（占比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51.47</w:t>
      </w:r>
      <w:r>
        <w:rPr>
          <w:rFonts w:hint="eastAsia" w:ascii="仿宋_GB2312" w:hAnsi="仿宋" w:eastAsia="仿宋_GB2312"/>
          <w:sz w:val="32"/>
          <w:szCs w:val="32"/>
        </w:rPr>
        <w:t>%）高于其他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类别</w:t>
      </w:r>
      <w:r>
        <w:rPr>
          <w:rFonts w:hint="eastAsia" w:ascii="仿宋_GB2312" w:hAnsi="仿宋" w:eastAsia="仿宋_GB2312"/>
          <w:sz w:val="32"/>
          <w:szCs w:val="32"/>
        </w:rPr>
        <w:t>；在交易金额方面，建设工程项目以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22.62亿</w:t>
      </w:r>
      <w:r>
        <w:rPr>
          <w:rFonts w:hint="eastAsia" w:ascii="仿宋_GB2312" w:hAnsi="仿宋" w:eastAsia="仿宋_GB2312"/>
          <w:sz w:val="32"/>
          <w:szCs w:val="32"/>
        </w:rPr>
        <w:t>元（占比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59.87</w:t>
      </w:r>
      <w:r>
        <w:rPr>
          <w:rFonts w:hint="eastAsia" w:ascii="仿宋_GB2312" w:hAnsi="仿宋" w:eastAsia="仿宋_GB2312"/>
          <w:sz w:val="32"/>
          <w:szCs w:val="32"/>
        </w:rPr>
        <w:t>%）成为全市主要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交易类别</w:t>
      </w:r>
      <w:r>
        <w:rPr>
          <w:rFonts w:hint="eastAsia" w:ascii="仿宋_GB2312" w:hAnsi="仿宋" w:eastAsia="仿宋_GB2312"/>
          <w:sz w:val="32"/>
          <w:szCs w:val="32"/>
        </w:rPr>
        <w:t>。</w:t>
      </w:r>
      <w:bookmarkStart w:id="4" w:name="_GoBack"/>
      <w:bookmarkEnd w:id="4"/>
    </w:p>
    <w:p w14:paraId="35BCE72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85725</wp:posOffset>
            </wp:positionV>
            <wp:extent cx="2505075" cy="2590800"/>
            <wp:effectExtent l="4445" t="4445" r="5080" b="8255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76200</wp:posOffset>
            </wp:positionV>
            <wp:extent cx="2390775" cy="2600325"/>
            <wp:effectExtent l="4445" t="4445" r="5080" b="11430"/>
            <wp:wrapTopAndBottom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tbl>
      <w:tblPr>
        <w:tblStyle w:val="9"/>
        <w:tblW w:w="54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328"/>
        <w:gridCol w:w="1604"/>
        <w:gridCol w:w="1356"/>
        <w:gridCol w:w="1235"/>
        <w:gridCol w:w="1235"/>
        <w:gridCol w:w="1235"/>
      </w:tblGrid>
      <w:tr w14:paraId="12DA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81" w:type="pct"/>
            <w:vAlign w:val="top"/>
          </w:tcPr>
          <w:p w14:paraId="14B4DB8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bookmarkStart w:id="1" w:name="_Toc72240301"/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分  类</w:t>
            </w:r>
          </w:p>
        </w:tc>
        <w:tc>
          <w:tcPr>
            <w:tcW w:w="717" w:type="pct"/>
            <w:vAlign w:val="top"/>
          </w:tcPr>
          <w:p w14:paraId="35A13D88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建设工程</w:t>
            </w:r>
          </w:p>
        </w:tc>
        <w:tc>
          <w:tcPr>
            <w:tcW w:w="866" w:type="pct"/>
            <w:vAlign w:val="top"/>
          </w:tcPr>
          <w:p w14:paraId="00A7821C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政府集中采购</w:t>
            </w:r>
          </w:p>
        </w:tc>
        <w:tc>
          <w:tcPr>
            <w:tcW w:w="732" w:type="pct"/>
            <w:vAlign w:val="top"/>
          </w:tcPr>
          <w:p w14:paraId="78D5272D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政府分散采购</w:t>
            </w:r>
          </w:p>
        </w:tc>
        <w:tc>
          <w:tcPr>
            <w:tcW w:w="667" w:type="pct"/>
            <w:vAlign w:val="top"/>
          </w:tcPr>
          <w:p w14:paraId="069C20CB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土地使用权</w:t>
            </w:r>
          </w:p>
        </w:tc>
        <w:tc>
          <w:tcPr>
            <w:tcW w:w="667" w:type="pct"/>
            <w:vAlign w:val="top"/>
          </w:tcPr>
          <w:p w14:paraId="45FE8421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国有产权</w:t>
            </w:r>
          </w:p>
        </w:tc>
        <w:tc>
          <w:tcPr>
            <w:tcW w:w="667" w:type="pct"/>
            <w:vAlign w:val="top"/>
          </w:tcPr>
          <w:p w14:paraId="4F239B1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其他交易</w:t>
            </w:r>
          </w:p>
        </w:tc>
      </w:tr>
      <w:tr w14:paraId="69FD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681" w:type="pct"/>
            <w:vAlign w:val="top"/>
          </w:tcPr>
          <w:p w14:paraId="7718F12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1A4A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2F3BB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56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511A2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5BE05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6895F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580AB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 w14:paraId="1E4E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1" w:type="pct"/>
            <w:vAlign w:val="top"/>
          </w:tcPr>
          <w:p w14:paraId="0A0C545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金额(亿元)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FDC9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22.62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730E0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019B0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0.47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1A378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13.64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3754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0.01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06F4B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0.03</w:t>
            </w:r>
          </w:p>
        </w:tc>
      </w:tr>
    </w:tbl>
    <w:p w14:paraId="054D1FA3">
      <w:pPr>
        <w:widowControl/>
        <w:rPr>
          <w:rFonts w:ascii="仿宋" w:hAnsi="仿宋" w:eastAsia="仿宋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二、分类交易情况</w:t>
      </w:r>
      <w:bookmarkEnd w:id="1"/>
    </w:p>
    <w:p w14:paraId="1AA4BAEF"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（一）工程建设项目。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</w:rPr>
        <w:t>全市累计完成工程建设项目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下降12.5</w:t>
      </w:r>
      <w:r>
        <w:rPr>
          <w:rFonts w:hint="eastAsia" w:ascii="仿宋_GB2312" w:hAnsi="仿宋" w:eastAsia="仿宋_GB2312"/>
          <w:sz w:val="32"/>
          <w:szCs w:val="32"/>
        </w:rPr>
        <w:t>%；交易金额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22.62亿元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下降11.12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4037499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667250" cy="2867025"/>
            <wp:effectExtent l="4445" t="5080" r="6985" b="825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546DC9D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1.在类别分布上，房建、市政项目在工程建设项目中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高于其它</w:t>
      </w:r>
      <w:r>
        <w:rPr>
          <w:rFonts w:hint="eastAsia" w:ascii="仿宋_GB2312" w:hAnsi="仿宋" w:eastAsia="仿宋_GB2312"/>
          <w:sz w:val="32"/>
          <w:szCs w:val="32"/>
        </w:rPr>
        <w:t>类别。</w:t>
      </w:r>
    </w:p>
    <w:p w14:paraId="4EE37DE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57150</wp:posOffset>
            </wp:positionV>
            <wp:extent cx="2677795" cy="2537460"/>
            <wp:effectExtent l="4445" t="4445" r="10160" b="10795"/>
            <wp:wrapSquare wrapText="bothSides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82550</wp:posOffset>
            </wp:positionV>
            <wp:extent cx="2530475" cy="2500630"/>
            <wp:effectExtent l="4445" t="4445" r="5080" b="9525"/>
            <wp:wrapSquare wrapText="bothSides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tbl>
      <w:tblPr>
        <w:tblStyle w:val="9"/>
        <w:tblW w:w="10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456"/>
        <w:gridCol w:w="1599"/>
        <w:gridCol w:w="1732"/>
        <w:gridCol w:w="2008"/>
        <w:gridCol w:w="2008"/>
      </w:tblGrid>
      <w:tr w14:paraId="777B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top"/>
          </w:tcPr>
          <w:p w14:paraId="453039E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分  类</w:t>
            </w:r>
          </w:p>
        </w:tc>
        <w:tc>
          <w:tcPr>
            <w:tcW w:w="1456" w:type="dxa"/>
            <w:vAlign w:val="top"/>
          </w:tcPr>
          <w:p w14:paraId="62638298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房  建</w:t>
            </w:r>
          </w:p>
        </w:tc>
        <w:tc>
          <w:tcPr>
            <w:tcW w:w="1599" w:type="dxa"/>
            <w:vAlign w:val="top"/>
          </w:tcPr>
          <w:p w14:paraId="79A2FE3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  政</w:t>
            </w:r>
          </w:p>
        </w:tc>
        <w:tc>
          <w:tcPr>
            <w:tcW w:w="1732" w:type="dxa"/>
            <w:vAlign w:val="top"/>
          </w:tcPr>
          <w:p w14:paraId="1C3ADC5E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交通工程</w:t>
            </w:r>
          </w:p>
        </w:tc>
        <w:tc>
          <w:tcPr>
            <w:tcW w:w="2008" w:type="dxa"/>
            <w:vAlign w:val="top"/>
          </w:tcPr>
          <w:p w14:paraId="27D7263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水利</w:t>
            </w:r>
          </w:p>
        </w:tc>
        <w:tc>
          <w:tcPr>
            <w:tcW w:w="2008" w:type="dxa"/>
            <w:vAlign w:val="top"/>
          </w:tcPr>
          <w:p w14:paraId="58FFA51B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其他</w:t>
            </w:r>
          </w:p>
        </w:tc>
      </w:tr>
      <w:tr w14:paraId="4F86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top"/>
          </w:tcPr>
          <w:p w14:paraId="037A589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FEED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2BD2E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0C1E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9C64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05F6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</w:tr>
      <w:tr w14:paraId="462E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top"/>
          </w:tcPr>
          <w:p w14:paraId="7AC62F79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F3EA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2.77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25B5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9.97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3D07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0.56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7303A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3.37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E42E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5.94</w:t>
            </w:r>
          </w:p>
        </w:tc>
      </w:tr>
    </w:tbl>
    <w:p w14:paraId="2C2993E8">
      <w:pPr>
        <w:rPr>
          <w:rFonts w:ascii="仿宋" w:hAnsi="仿宋" w:eastAsia="仿宋"/>
          <w:sz w:val="32"/>
          <w:szCs w:val="32"/>
        </w:rPr>
      </w:pPr>
    </w:p>
    <w:p w14:paraId="3A597D08">
      <w:pPr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2.在区域分布上，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市本级项目交易数量48</w:t>
      </w:r>
      <w:r>
        <w:rPr>
          <w:rFonts w:hint="eastAsia" w:ascii="仿宋_GB2312" w:hAnsi="仿宋" w:eastAsia="仿宋_GB2312"/>
          <w:sz w:val="32"/>
          <w:szCs w:val="32"/>
        </w:rPr>
        <w:t>宗（占比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45.71</w:t>
      </w:r>
      <w:r>
        <w:rPr>
          <w:rFonts w:hint="eastAsia" w:ascii="仿宋_GB2312" w:hAnsi="仿宋" w:eastAsia="仿宋_GB2312"/>
          <w:sz w:val="32"/>
          <w:szCs w:val="32"/>
        </w:rPr>
        <w:t>%）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交易金额13.38亿元（占比59.15%）；成交宗数、成交金额均为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名。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富顺县成交24宗，交易金额1.46亿元；富顺县成交30宗，交易金额6.85亿元；沿滩区成交3宗，交易金额0.93亿元。</w:t>
      </w:r>
    </w:p>
    <w:p w14:paraId="289A173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drawing>
          <wp:inline distT="0" distB="0" distL="0" distR="0">
            <wp:extent cx="4523105" cy="3079115"/>
            <wp:effectExtent l="4445" t="4445" r="6350" b="1524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58FDB8">
      <w:pPr>
        <w:ind w:left="14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447540" cy="2845435"/>
            <wp:effectExtent l="4445" t="4445" r="5715" b="762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21517D">
      <w:pPr>
        <w:ind w:left="142"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403"/>
        <w:gridCol w:w="1675"/>
        <w:gridCol w:w="1797"/>
        <w:gridCol w:w="1797"/>
      </w:tblGrid>
      <w:tr w14:paraId="11EC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83" w:type="pct"/>
            <w:vAlign w:val="center"/>
          </w:tcPr>
          <w:p w14:paraId="34C80E2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区  域</w:t>
            </w:r>
          </w:p>
        </w:tc>
        <w:tc>
          <w:tcPr>
            <w:tcW w:w="823" w:type="pct"/>
          </w:tcPr>
          <w:p w14:paraId="2F72A9E9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 w14:paraId="61398F5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市本级</w:t>
            </w:r>
          </w:p>
        </w:tc>
        <w:tc>
          <w:tcPr>
            <w:tcW w:w="982" w:type="pct"/>
          </w:tcPr>
          <w:p w14:paraId="0A6ACA8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 w14:paraId="4B947FD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富顺县</w:t>
            </w:r>
          </w:p>
        </w:tc>
        <w:tc>
          <w:tcPr>
            <w:tcW w:w="1054" w:type="pct"/>
          </w:tcPr>
          <w:p w14:paraId="4285D9A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 w14:paraId="18F112F5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荣县</w:t>
            </w:r>
          </w:p>
        </w:tc>
        <w:tc>
          <w:tcPr>
            <w:tcW w:w="1054" w:type="pct"/>
          </w:tcPr>
          <w:p w14:paraId="5ECE1283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</w:p>
          <w:p w14:paraId="64AE7928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沿滩区</w:t>
            </w:r>
          </w:p>
        </w:tc>
      </w:tr>
      <w:tr w14:paraId="6ABF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83" w:type="pct"/>
            <w:vAlign w:val="center"/>
          </w:tcPr>
          <w:p w14:paraId="22930D1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项目数(宗)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52AA3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48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AD1C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1B8AB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16C48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EA0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083" w:type="pct"/>
            <w:vAlign w:val="center"/>
          </w:tcPr>
          <w:p w14:paraId="4A68F4D5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金额（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亿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元）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2C794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13.38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5402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1.46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448BB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6.85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152F3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</w:tr>
    </w:tbl>
    <w:p w14:paraId="41F8B89C">
      <w:pPr>
        <w:ind w:firstLine="640" w:firstLineChars="200"/>
        <w:rPr>
          <w:rFonts w:ascii="仿宋_GB2312" w:hAnsi="仿宋" w:eastAsia="仿宋_GB2312"/>
          <w:b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3．在重大项目交易上，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全市累计完成总投资额5000万元以上的重大项目（含分标段交易）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宗，占比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9.52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%；交易金额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21.23亿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元，占比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93.89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%，重大项目集中在房屋建筑和市政工程。</w:t>
      </w:r>
    </w:p>
    <w:p w14:paraId="316FACAB">
      <w:pPr>
        <w:spacing w:line="360" w:lineRule="auto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（二）政府集中采购项目。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</w:rPr>
        <w:t>全市共完成政府集中采购项目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下降15.15%</w:t>
      </w:r>
      <w:r>
        <w:rPr>
          <w:rFonts w:hint="eastAsia" w:ascii="仿宋_GB2312" w:hAnsi="仿宋" w:eastAsia="仿宋_GB2312"/>
          <w:sz w:val="32"/>
          <w:szCs w:val="32"/>
        </w:rPr>
        <w:t>；交易金额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1.17亿</w:t>
      </w:r>
      <w:r>
        <w:rPr>
          <w:rFonts w:hint="eastAsia" w:ascii="仿宋_GB2312" w:hAnsi="仿宋" w:eastAsia="仿宋_GB2312"/>
          <w:sz w:val="32"/>
          <w:szCs w:val="32"/>
        </w:rPr>
        <w:t>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下降10.69</w:t>
      </w:r>
      <w:r>
        <w:rPr>
          <w:rFonts w:hint="eastAsia" w:ascii="仿宋_GB2312" w:hAnsi="仿宋" w:eastAsia="仿宋_GB2312"/>
          <w:sz w:val="32"/>
          <w:szCs w:val="32"/>
        </w:rPr>
        <w:t>%.</w:t>
      </w:r>
    </w:p>
    <w:p w14:paraId="608D3DE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8255" b="8255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E46518C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1．在采购方式分布上，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竞争性谈判</w:t>
      </w:r>
      <w:r>
        <w:rPr>
          <w:rFonts w:hint="eastAsia" w:ascii="仿宋_GB2312" w:hAnsi="仿宋" w:eastAsia="仿宋_GB2312"/>
          <w:sz w:val="32"/>
          <w:szCs w:val="32"/>
        </w:rPr>
        <w:t>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/>
          <w:sz w:val="32"/>
          <w:szCs w:val="32"/>
        </w:rPr>
        <w:t>宗在交易项目数量上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以0.68亿元成交价位列政府采购成交价第一；公开招标7宗，成交</w:t>
      </w:r>
      <w:r>
        <w:rPr>
          <w:rFonts w:hint="eastAsia" w:ascii="仿宋_GB2312" w:hAnsi="仿宋" w:eastAsia="仿宋_GB2312"/>
          <w:sz w:val="32"/>
          <w:szCs w:val="32"/>
        </w:rPr>
        <w:t>价为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0.3亿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竞争性磋商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，成交</w:t>
      </w:r>
      <w:r>
        <w:rPr>
          <w:rFonts w:hint="eastAsia" w:ascii="仿宋_GB2312" w:hAnsi="仿宋" w:eastAsia="仿宋_GB2312"/>
          <w:sz w:val="32"/>
          <w:szCs w:val="32"/>
        </w:rPr>
        <w:t>价为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0.12亿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询价成交7宗，成交价0.08亿元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tbl>
      <w:tblPr>
        <w:tblStyle w:val="9"/>
        <w:tblW w:w="44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320"/>
        <w:gridCol w:w="1580"/>
        <w:gridCol w:w="1580"/>
        <w:gridCol w:w="1320"/>
      </w:tblGrid>
      <w:tr w14:paraId="3544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02" w:type="pct"/>
            <w:vAlign w:val="top"/>
          </w:tcPr>
          <w:p w14:paraId="449C09FA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交易类型</w:t>
            </w:r>
          </w:p>
        </w:tc>
        <w:tc>
          <w:tcPr>
            <w:tcW w:w="864" w:type="pct"/>
            <w:vAlign w:val="top"/>
          </w:tcPr>
          <w:p w14:paraId="76B51BE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公开招标</w:t>
            </w:r>
          </w:p>
        </w:tc>
        <w:tc>
          <w:tcPr>
            <w:tcW w:w="1034" w:type="pct"/>
            <w:vAlign w:val="top"/>
          </w:tcPr>
          <w:p w14:paraId="146A799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竞争性磋商</w:t>
            </w:r>
          </w:p>
        </w:tc>
        <w:tc>
          <w:tcPr>
            <w:tcW w:w="1034" w:type="pct"/>
            <w:vAlign w:val="top"/>
          </w:tcPr>
          <w:p w14:paraId="11D181E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竞争性谈判</w:t>
            </w:r>
          </w:p>
        </w:tc>
        <w:tc>
          <w:tcPr>
            <w:tcW w:w="864" w:type="pct"/>
            <w:vAlign w:val="top"/>
          </w:tcPr>
          <w:p w14:paraId="428405A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询价</w:t>
            </w:r>
          </w:p>
        </w:tc>
      </w:tr>
      <w:tr w14:paraId="13E6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02" w:type="pct"/>
            <w:vAlign w:val="top"/>
          </w:tcPr>
          <w:p w14:paraId="4A0D85AE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48EB1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ED14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52C9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7B075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</w:tr>
      <w:tr w14:paraId="4F9D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02" w:type="pct"/>
            <w:vAlign w:val="top"/>
          </w:tcPr>
          <w:p w14:paraId="3C10B01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6EEA6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0.3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5F7A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0.12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2871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0.68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2C617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0.08</w:t>
            </w:r>
          </w:p>
        </w:tc>
      </w:tr>
    </w:tbl>
    <w:p w14:paraId="11642BDF"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1B951AF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8255" b="8255"/>
            <wp:docPr id="19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8CD2F0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22" name="图表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07AA4D5">
      <w:pPr>
        <w:numPr>
          <w:ilvl w:val="0"/>
          <w:numId w:val="1"/>
        </w:num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在行政区域分布上，市本级（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含驻市</w:t>
      </w:r>
      <w:r>
        <w:rPr>
          <w:rFonts w:hint="eastAsia" w:ascii="仿宋_GB2312" w:hAnsi="仿宋" w:eastAsia="仿宋_GB2312"/>
          <w:sz w:val="32"/>
          <w:szCs w:val="32"/>
        </w:rPr>
        <w:t>省级预算单位）成</w:t>
      </w:r>
      <w:bookmarkStart w:id="2" w:name="_Hlk74921107"/>
      <w:r>
        <w:rPr>
          <w:rFonts w:hint="eastAsia" w:ascii="仿宋_GB2312" w:hAnsi="仿宋" w:eastAsia="仿宋_GB2312"/>
          <w:sz w:val="32"/>
          <w:szCs w:val="32"/>
        </w:rPr>
        <w:t>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" w:eastAsia="仿宋_GB2312"/>
          <w:sz w:val="32"/>
          <w:szCs w:val="32"/>
        </w:rPr>
        <w:t>宗，成交价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1.05亿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bookmarkEnd w:id="2"/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宗数、成交金额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名；</w:t>
      </w:r>
      <w:bookmarkStart w:id="3" w:name="_Hlk74920865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贡井区成交5宗，成交价为0.03亿元；沿滩区成交3宗，成交价为0.02亿元；大安</w:t>
      </w:r>
      <w:r>
        <w:rPr>
          <w:rFonts w:hint="eastAsia" w:ascii="仿宋_GB2312" w:hAnsi="仿宋" w:eastAsia="仿宋_GB2312"/>
          <w:sz w:val="32"/>
          <w:szCs w:val="32"/>
        </w:rPr>
        <w:t>区成交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宗，成交价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0.13亿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bookmarkEnd w:id="3"/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荣县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成交8宗，成交价0.06亿元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富顺县成交3宗，成交价0.02亿元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B8A1225">
      <w:pPr>
        <w:numPr>
          <w:ilvl w:val="0"/>
          <w:numId w:val="0"/>
        </w:numPr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963"/>
        <w:gridCol w:w="963"/>
        <w:gridCol w:w="876"/>
        <w:gridCol w:w="965"/>
        <w:gridCol w:w="965"/>
        <w:gridCol w:w="1060"/>
        <w:gridCol w:w="1061"/>
      </w:tblGrid>
      <w:tr w14:paraId="3FEE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76" w:type="pct"/>
            <w:vAlign w:val="center"/>
          </w:tcPr>
          <w:p w14:paraId="194233A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  域</w:t>
            </w:r>
          </w:p>
        </w:tc>
        <w:tc>
          <w:tcPr>
            <w:tcW w:w="565" w:type="pct"/>
          </w:tcPr>
          <w:p w14:paraId="3E4C293A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市本级</w:t>
            </w:r>
          </w:p>
        </w:tc>
        <w:tc>
          <w:tcPr>
            <w:tcW w:w="565" w:type="pct"/>
          </w:tcPr>
          <w:p w14:paraId="611ECFE5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贡井区</w:t>
            </w:r>
          </w:p>
        </w:tc>
        <w:tc>
          <w:tcPr>
            <w:tcW w:w="514" w:type="pct"/>
          </w:tcPr>
          <w:p w14:paraId="664FABE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沿滩区</w:t>
            </w:r>
          </w:p>
        </w:tc>
        <w:tc>
          <w:tcPr>
            <w:tcW w:w="566" w:type="pct"/>
          </w:tcPr>
          <w:p w14:paraId="1EADFBB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大安区</w:t>
            </w:r>
          </w:p>
        </w:tc>
        <w:tc>
          <w:tcPr>
            <w:tcW w:w="566" w:type="pct"/>
          </w:tcPr>
          <w:p w14:paraId="629C5E7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荣县</w:t>
            </w:r>
          </w:p>
        </w:tc>
        <w:tc>
          <w:tcPr>
            <w:tcW w:w="622" w:type="pct"/>
          </w:tcPr>
          <w:p w14:paraId="5F0B556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富顺县</w:t>
            </w:r>
          </w:p>
        </w:tc>
        <w:tc>
          <w:tcPr>
            <w:tcW w:w="622" w:type="pct"/>
          </w:tcPr>
          <w:p w14:paraId="37422C6B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自流井区</w:t>
            </w:r>
          </w:p>
        </w:tc>
      </w:tr>
      <w:tr w14:paraId="3D69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76" w:type="pct"/>
            <w:vAlign w:val="center"/>
          </w:tcPr>
          <w:p w14:paraId="00042D6B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项目数(宗)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5AC7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5F99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551A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F86C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566" w:type="pct"/>
            <w:vAlign w:val="center"/>
          </w:tcPr>
          <w:p w14:paraId="1EADD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6958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4EB0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 w14:paraId="0310F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6" w:type="pct"/>
            <w:vAlign w:val="center"/>
          </w:tcPr>
          <w:p w14:paraId="43415743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021B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0.7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CBA9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E8CB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4918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0.09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56F2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0.09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C2F7C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0.08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633E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</w:tr>
    </w:tbl>
    <w:p w14:paraId="5001173B"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3204F66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8255" b="8255"/>
            <wp:docPr id="30" name="图表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796514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32" name="图表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030A51C"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b/>
          <w:sz w:val="32"/>
          <w:szCs w:val="32"/>
        </w:rPr>
        <w:t>）政府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分散采购</w:t>
      </w:r>
      <w:r>
        <w:rPr>
          <w:rFonts w:hint="eastAsia" w:ascii="楷体" w:hAnsi="楷体" w:eastAsia="楷体"/>
          <w:b/>
          <w:sz w:val="32"/>
          <w:szCs w:val="32"/>
        </w:rPr>
        <w:t>项目。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</w:rPr>
        <w:t>全市共完成政府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分散</w:t>
      </w:r>
      <w:r>
        <w:rPr>
          <w:rFonts w:hint="eastAsia" w:ascii="仿宋_GB2312" w:hAnsi="仿宋" w:eastAsia="仿宋_GB2312"/>
          <w:sz w:val="32"/>
          <w:szCs w:val="32"/>
        </w:rPr>
        <w:t>采购项目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>宗；交易金额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0.47亿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323032D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1．在采购方式分布上，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公开招标</w:t>
      </w:r>
      <w:r>
        <w:rPr>
          <w:rFonts w:hint="eastAsia" w:ascii="仿宋_GB2312" w:hAnsi="仿宋" w:eastAsia="仿宋_GB2312"/>
          <w:sz w:val="32"/>
          <w:szCs w:val="32"/>
        </w:rPr>
        <w:t>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宗在交易项目数量上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以0.38亿元成交价位列政府采购成交价第一；竞争性磋商5宗，成交</w:t>
      </w:r>
      <w:r>
        <w:rPr>
          <w:rFonts w:hint="eastAsia" w:ascii="仿宋_GB2312" w:hAnsi="仿宋" w:eastAsia="仿宋_GB2312"/>
          <w:sz w:val="32"/>
          <w:szCs w:val="32"/>
        </w:rPr>
        <w:t>价为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0.04亿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竞争性谈判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，成交</w:t>
      </w:r>
      <w:r>
        <w:rPr>
          <w:rFonts w:hint="eastAsia" w:ascii="仿宋_GB2312" w:hAnsi="仿宋" w:eastAsia="仿宋_GB2312"/>
          <w:sz w:val="32"/>
          <w:szCs w:val="32"/>
        </w:rPr>
        <w:t>价为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0.009亿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询价成交1宗，成交价0.006亿元；单一来源成交3宗，成交价0.04亿元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254"/>
        <w:gridCol w:w="1503"/>
        <w:gridCol w:w="1503"/>
        <w:gridCol w:w="1255"/>
        <w:gridCol w:w="1255"/>
      </w:tblGrid>
      <w:tr w14:paraId="3A59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25" w:type="pct"/>
            <w:vAlign w:val="top"/>
          </w:tcPr>
          <w:p w14:paraId="54513AF6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交易类型</w:t>
            </w:r>
          </w:p>
        </w:tc>
        <w:tc>
          <w:tcPr>
            <w:tcW w:w="736" w:type="pct"/>
            <w:vAlign w:val="top"/>
          </w:tcPr>
          <w:p w14:paraId="2A0EC86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公开招标</w:t>
            </w:r>
          </w:p>
        </w:tc>
        <w:tc>
          <w:tcPr>
            <w:tcW w:w="882" w:type="pct"/>
            <w:vAlign w:val="top"/>
          </w:tcPr>
          <w:p w14:paraId="610CDECD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竞争性磋商</w:t>
            </w:r>
          </w:p>
        </w:tc>
        <w:tc>
          <w:tcPr>
            <w:tcW w:w="882" w:type="pct"/>
            <w:vAlign w:val="top"/>
          </w:tcPr>
          <w:p w14:paraId="65A55CD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竞争性谈判</w:t>
            </w:r>
          </w:p>
        </w:tc>
        <w:tc>
          <w:tcPr>
            <w:tcW w:w="736" w:type="pct"/>
            <w:vAlign w:val="top"/>
          </w:tcPr>
          <w:p w14:paraId="51DA23A3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询价</w:t>
            </w:r>
          </w:p>
        </w:tc>
        <w:tc>
          <w:tcPr>
            <w:tcW w:w="736" w:type="pct"/>
            <w:vAlign w:val="top"/>
          </w:tcPr>
          <w:p w14:paraId="4C0436A8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单一来源</w:t>
            </w:r>
          </w:p>
        </w:tc>
      </w:tr>
      <w:tr w14:paraId="7CA7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25" w:type="pct"/>
            <w:vAlign w:val="top"/>
          </w:tcPr>
          <w:p w14:paraId="23F3E7E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4DEC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0EFF0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5E55B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065F4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14D6A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</w:tr>
      <w:tr w14:paraId="4D74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25" w:type="pct"/>
            <w:vAlign w:val="top"/>
          </w:tcPr>
          <w:p w14:paraId="1BA80C1B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1855E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0.38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1482B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0.04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01A05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0.009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3CC78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0.006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06417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0.04</w:t>
            </w:r>
          </w:p>
        </w:tc>
      </w:tr>
    </w:tbl>
    <w:p w14:paraId="656DC9FF"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31C3F97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8255" b="8255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31D368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8255" b="8255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11508E2">
      <w:pPr>
        <w:numPr>
          <w:ilvl w:val="0"/>
          <w:numId w:val="1"/>
        </w:num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在行政区域分布上，市本级（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含驻市</w:t>
      </w:r>
      <w:r>
        <w:rPr>
          <w:rFonts w:hint="eastAsia" w:ascii="仿宋_GB2312" w:hAnsi="仿宋" w:eastAsia="仿宋_GB2312"/>
          <w:sz w:val="32"/>
          <w:szCs w:val="32"/>
        </w:rPr>
        <w:t>省级预算单位）成交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宗，成交价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0.28亿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宗数、成交金额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；自流井</w:t>
      </w:r>
      <w:r>
        <w:rPr>
          <w:rFonts w:hint="eastAsia" w:ascii="仿宋_GB2312" w:hAnsi="仿宋" w:eastAsia="仿宋_GB2312"/>
          <w:sz w:val="32"/>
          <w:szCs w:val="32"/>
        </w:rPr>
        <w:t>区成交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宗，成交价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0.006亿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荣县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成交6宗，成交价0.19亿元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46D81A1">
      <w:pPr>
        <w:numPr>
          <w:ilvl w:val="0"/>
          <w:numId w:val="0"/>
        </w:numPr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9"/>
        <w:tblW w:w="4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524"/>
        <w:gridCol w:w="1823"/>
        <w:gridCol w:w="1866"/>
      </w:tblGrid>
      <w:tr w14:paraId="6AE9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09" w:type="pct"/>
            <w:vAlign w:val="center"/>
          </w:tcPr>
          <w:p w14:paraId="2FED261A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  域</w:t>
            </w:r>
          </w:p>
        </w:tc>
        <w:tc>
          <w:tcPr>
            <w:tcW w:w="1108" w:type="pct"/>
          </w:tcPr>
          <w:p w14:paraId="02B7D86D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市本级</w:t>
            </w:r>
          </w:p>
        </w:tc>
        <w:tc>
          <w:tcPr>
            <w:tcW w:w="1325" w:type="pct"/>
          </w:tcPr>
          <w:p w14:paraId="66DEB78F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荣县</w:t>
            </w:r>
          </w:p>
        </w:tc>
        <w:tc>
          <w:tcPr>
            <w:tcW w:w="1356" w:type="pct"/>
          </w:tcPr>
          <w:p w14:paraId="1A9AA9CB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自流井区</w:t>
            </w:r>
          </w:p>
        </w:tc>
      </w:tr>
      <w:tr w14:paraId="284E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09" w:type="pct"/>
            <w:vAlign w:val="center"/>
          </w:tcPr>
          <w:p w14:paraId="675F2CA3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项目数(宗)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CFE9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325" w:type="pct"/>
            <w:vAlign w:val="center"/>
          </w:tcPr>
          <w:p w14:paraId="07C30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77A45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 w14:paraId="6399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09" w:type="pct"/>
            <w:vAlign w:val="center"/>
          </w:tcPr>
          <w:p w14:paraId="216B113D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2B2D3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0.28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6416F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0.19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12A94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</w:t>
            </w:r>
          </w:p>
        </w:tc>
      </w:tr>
    </w:tbl>
    <w:p w14:paraId="651BBBA4"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1A9BDE8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8255" b="8255"/>
            <wp:docPr id="13" name="图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4B338D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8255" b="8255"/>
            <wp:docPr id="14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16BBF52">
      <w:pPr>
        <w:widowControl/>
        <w:ind w:firstLine="420" w:firstLineChars="0"/>
        <w:rPr>
          <w:rFonts w:hint="eastAsia" w:ascii="楷体" w:hAnsi="楷体" w:eastAsia="楷体"/>
          <w:b/>
          <w:sz w:val="32"/>
          <w:szCs w:val="32"/>
        </w:rPr>
      </w:pPr>
    </w:p>
    <w:p w14:paraId="210D5CC9">
      <w:pPr>
        <w:widowControl/>
        <w:ind w:firstLine="420" w:firstLineChars="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/>
          <w:b/>
          <w:sz w:val="32"/>
          <w:szCs w:val="32"/>
        </w:rPr>
        <w:t>）土地使用权出让。</w:t>
      </w:r>
      <w:r>
        <w:rPr>
          <w:rFonts w:hint="eastAsia" w:ascii="仿宋_GB2312" w:hAnsi="仿宋" w:eastAsia="仿宋_GB2312"/>
          <w:sz w:val="32"/>
          <w:szCs w:val="32"/>
        </w:rPr>
        <w:t>全市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</w:rPr>
        <w:t>共完成土地使用权出让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上升466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成交金额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13.64亿元，同比下降7923.53%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1463CB4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781550" cy="2857500"/>
            <wp:effectExtent l="5080" t="4445" r="13970" b="8255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5E17096">
      <w:pPr>
        <w:spacing w:line="360" w:lineRule="auto"/>
        <w:ind w:firstLine="42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b/>
          <w:sz w:val="32"/>
          <w:szCs w:val="32"/>
        </w:rPr>
        <w:t>国有产权。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</w:rPr>
        <w:t>全市产权类项目入场交易累计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同比上升229.41%</w:t>
      </w:r>
      <w:r>
        <w:rPr>
          <w:rFonts w:hint="eastAsia" w:ascii="仿宋_GB2312" w:hAnsi="仿宋" w:eastAsia="仿宋_GB2312"/>
          <w:sz w:val="32"/>
          <w:szCs w:val="32"/>
        </w:rPr>
        <w:t>；其中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富顺县17宗</w:t>
      </w:r>
      <w:r>
        <w:rPr>
          <w:rFonts w:hint="eastAsia" w:ascii="仿宋_GB2312" w:hAnsi="仿宋" w:eastAsia="仿宋_GB2312"/>
          <w:sz w:val="32"/>
          <w:szCs w:val="32"/>
        </w:rPr>
        <w:t>。项目交易额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0.0056亿元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80EFEC6"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173980" cy="3642360"/>
            <wp:effectExtent l="4445" t="4445" r="15875" b="10795"/>
            <wp:docPr id="25" name="图表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B737545">
      <w:pPr>
        <w:spacing w:line="360" w:lineRule="auto"/>
        <w:ind w:firstLine="42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其他交易</w:t>
      </w:r>
      <w:r>
        <w:rPr>
          <w:rFonts w:hint="eastAsia" w:ascii="楷体" w:hAnsi="楷体" w:eastAsia="楷体"/>
          <w:b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共完成其他交易2宗，交易金额0.03亿元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EB19BF5"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BE894E"/>
    <w:multiLevelType w:val="singleLevel"/>
    <w:tmpl w:val="9CBE894E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NTc5MWM3MmE0MmFiZGEwMzExMmI4ZTkxOTBiNjEifQ=="/>
  </w:docVars>
  <w:rsids>
    <w:rsidRoot w:val="001A4768"/>
    <w:rsid w:val="00010453"/>
    <w:rsid w:val="0001550F"/>
    <w:rsid w:val="0004214C"/>
    <w:rsid w:val="000475CA"/>
    <w:rsid w:val="000544C5"/>
    <w:rsid w:val="000A18B6"/>
    <w:rsid w:val="000B4D92"/>
    <w:rsid w:val="0012422D"/>
    <w:rsid w:val="00140DEC"/>
    <w:rsid w:val="001539A0"/>
    <w:rsid w:val="0019228D"/>
    <w:rsid w:val="001A4768"/>
    <w:rsid w:val="001C2C9C"/>
    <w:rsid w:val="001E4428"/>
    <w:rsid w:val="001F0C2B"/>
    <w:rsid w:val="00241098"/>
    <w:rsid w:val="00262B5D"/>
    <w:rsid w:val="00270F60"/>
    <w:rsid w:val="0029288E"/>
    <w:rsid w:val="002A299B"/>
    <w:rsid w:val="002C38EF"/>
    <w:rsid w:val="002D1A47"/>
    <w:rsid w:val="002E1F3A"/>
    <w:rsid w:val="002E60BE"/>
    <w:rsid w:val="003A0A19"/>
    <w:rsid w:val="003A2DAC"/>
    <w:rsid w:val="003C3288"/>
    <w:rsid w:val="003E0713"/>
    <w:rsid w:val="00402D3A"/>
    <w:rsid w:val="00432844"/>
    <w:rsid w:val="0048780C"/>
    <w:rsid w:val="00490329"/>
    <w:rsid w:val="00506725"/>
    <w:rsid w:val="00527E2A"/>
    <w:rsid w:val="00542C0F"/>
    <w:rsid w:val="005763BD"/>
    <w:rsid w:val="005908FF"/>
    <w:rsid w:val="00601E82"/>
    <w:rsid w:val="00610B55"/>
    <w:rsid w:val="00643E35"/>
    <w:rsid w:val="00662E0D"/>
    <w:rsid w:val="00671935"/>
    <w:rsid w:val="00680DD1"/>
    <w:rsid w:val="006844F0"/>
    <w:rsid w:val="00693874"/>
    <w:rsid w:val="006B16AE"/>
    <w:rsid w:val="006D08B2"/>
    <w:rsid w:val="006E554A"/>
    <w:rsid w:val="00700DE6"/>
    <w:rsid w:val="007341D9"/>
    <w:rsid w:val="007573FB"/>
    <w:rsid w:val="007653CE"/>
    <w:rsid w:val="007A49CA"/>
    <w:rsid w:val="007D37E2"/>
    <w:rsid w:val="00816F4C"/>
    <w:rsid w:val="00823A68"/>
    <w:rsid w:val="00864B5F"/>
    <w:rsid w:val="008767D0"/>
    <w:rsid w:val="008C4D3E"/>
    <w:rsid w:val="008F1E37"/>
    <w:rsid w:val="0093351E"/>
    <w:rsid w:val="00985434"/>
    <w:rsid w:val="009A7C00"/>
    <w:rsid w:val="009B5350"/>
    <w:rsid w:val="009C3644"/>
    <w:rsid w:val="00A23CFF"/>
    <w:rsid w:val="00A2510A"/>
    <w:rsid w:val="00A500B8"/>
    <w:rsid w:val="00A543DF"/>
    <w:rsid w:val="00AB4CA3"/>
    <w:rsid w:val="00AC1F43"/>
    <w:rsid w:val="00AE4D79"/>
    <w:rsid w:val="00AF173E"/>
    <w:rsid w:val="00B06593"/>
    <w:rsid w:val="00B31103"/>
    <w:rsid w:val="00B96CAC"/>
    <w:rsid w:val="00BF2311"/>
    <w:rsid w:val="00C02D29"/>
    <w:rsid w:val="00C34E75"/>
    <w:rsid w:val="00C40B13"/>
    <w:rsid w:val="00C53CB6"/>
    <w:rsid w:val="00C565F4"/>
    <w:rsid w:val="00C61B70"/>
    <w:rsid w:val="00C61FC5"/>
    <w:rsid w:val="00C62B0C"/>
    <w:rsid w:val="00C63376"/>
    <w:rsid w:val="00C97A94"/>
    <w:rsid w:val="00CA6C1D"/>
    <w:rsid w:val="00CF2441"/>
    <w:rsid w:val="00CF4B20"/>
    <w:rsid w:val="00D101D2"/>
    <w:rsid w:val="00D15253"/>
    <w:rsid w:val="00D4586C"/>
    <w:rsid w:val="00DB416A"/>
    <w:rsid w:val="00E22E9D"/>
    <w:rsid w:val="00E474A2"/>
    <w:rsid w:val="00E65BF2"/>
    <w:rsid w:val="00E727A3"/>
    <w:rsid w:val="00EE5EA6"/>
    <w:rsid w:val="00F20869"/>
    <w:rsid w:val="00F34AF6"/>
    <w:rsid w:val="00F40C6A"/>
    <w:rsid w:val="00F419B3"/>
    <w:rsid w:val="00F43111"/>
    <w:rsid w:val="00F62AE4"/>
    <w:rsid w:val="00F83873"/>
    <w:rsid w:val="00F97FDE"/>
    <w:rsid w:val="00FB52EE"/>
    <w:rsid w:val="00FC5BEC"/>
    <w:rsid w:val="00FD03FE"/>
    <w:rsid w:val="012B5AAA"/>
    <w:rsid w:val="01C42B8B"/>
    <w:rsid w:val="0243433D"/>
    <w:rsid w:val="0275224B"/>
    <w:rsid w:val="030959A0"/>
    <w:rsid w:val="03B07824"/>
    <w:rsid w:val="03B95D83"/>
    <w:rsid w:val="05E8390D"/>
    <w:rsid w:val="06B10496"/>
    <w:rsid w:val="06E4782C"/>
    <w:rsid w:val="077C00F5"/>
    <w:rsid w:val="095D1920"/>
    <w:rsid w:val="0AFF7B67"/>
    <w:rsid w:val="0DC0757C"/>
    <w:rsid w:val="0DC56929"/>
    <w:rsid w:val="0E771481"/>
    <w:rsid w:val="0EB46846"/>
    <w:rsid w:val="101A606C"/>
    <w:rsid w:val="119526C6"/>
    <w:rsid w:val="124473D0"/>
    <w:rsid w:val="12876C72"/>
    <w:rsid w:val="12AB1006"/>
    <w:rsid w:val="12CC7AF2"/>
    <w:rsid w:val="12D64D63"/>
    <w:rsid w:val="13730106"/>
    <w:rsid w:val="138E5603"/>
    <w:rsid w:val="13CC1D73"/>
    <w:rsid w:val="140D6614"/>
    <w:rsid w:val="143664D8"/>
    <w:rsid w:val="159D092B"/>
    <w:rsid w:val="15BF734A"/>
    <w:rsid w:val="162437A1"/>
    <w:rsid w:val="165006DF"/>
    <w:rsid w:val="16972DA9"/>
    <w:rsid w:val="16C64858"/>
    <w:rsid w:val="175D1BF5"/>
    <w:rsid w:val="176E71E5"/>
    <w:rsid w:val="18456E05"/>
    <w:rsid w:val="191279ED"/>
    <w:rsid w:val="19B117EF"/>
    <w:rsid w:val="1AAC0209"/>
    <w:rsid w:val="1AC8208F"/>
    <w:rsid w:val="1B9069C1"/>
    <w:rsid w:val="1BDA048E"/>
    <w:rsid w:val="1C03651D"/>
    <w:rsid w:val="1C096F2E"/>
    <w:rsid w:val="1C2A5889"/>
    <w:rsid w:val="1C2D254D"/>
    <w:rsid w:val="1C752FA8"/>
    <w:rsid w:val="1CC006D5"/>
    <w:rsid w:val="1CC90604"/>
    <w:rsid w:val="1D7D71A6"/>
    <w:rsid w:val="1DF2140B"/>
    <w:rsid w:val="1E591BA3"/>
    <w:rsid w:val="1F6A67BE"/>
    <w:rsid w:val="1F905DD0"/>
    <w:rsid w:val="1FA15E62"/>
    <w:rsid w:val="20903977"/>
    <w:rsid w:val="20A451DB"/>
    <w:rsid w:val="216B3C80"/>
    <w:rsid w:val="2203697F"/>
    <w:rsid w:val="22266AF2"/>
    <w:rsid w:val="22591B33"/>
    <w:rsid w:val="2292522B"/>
    <w:rsid w:val="229D0C0C"/>
    <w:rsid w:val="22A70880"/>
    <w:rsid w:val="23843155"/>
    <w:rsid w:val="23E944F0"/>
    <w:rsid w:val="244F7A97"/>
    <w:rsid w:val="24A73F1B"/>
    <w:rsid w:val="25D70334"/>
    <w:rsid w:val="27911A4D"/>
    <w:rsid w:val="28197DF3"/>
    <w:rsid w:val="285A3310"/>
    <w:rsid w:val="29096438"/>
    <w:rsid w:val="29361D11"/>
    <w:rsid w:val="29BD6D49"/>
    <w:rsid w:val="2A566214"/>
    <w:rsid w:val="2B08148B"/>
    <w:rsid w:val="2B51698E"/>
    <w:rsid w:val="2C5C66F6"/>
    <w:rsid w:val="2CD20031"/>
    <w:rsid w:val="2D053ED4"/>
    <w:rsid w:val="2DAF544A"/>
    <w:rsid w:val="2DCA68F9"/>
    <w:rsid w:val="2DE77F32"/>
    <w:rsid w:val="2E0B2A2D"/>
    <w:rsid w:val="2E9D3CAF"/>
    <w:rsid w:val="2FF3270A"/>
    <w:rsid w:val="302C20AC"/>
    <w:rsid w:val="32213220"/>
    <w:rsid w:val="32332DE3"/>
    <w:rsid w:val="324B4A69"/>
    <w:rsid w:val="33114C55"/>
    <w:rsid w:val="336F654B"/>
    <w:rsid w:val="338D69D1"/>
    <w:rsid w:val="34A21B2F"/>
    <w:rsid w:val="357C76A0"/>
    <w:rsid w:val="359E4EC6"/>
    <w:rsid w:val="35BF6BEA"/>
    <w:rsid w:val="35E6061B"/>
    <w:rsid w:val="3619279E"/>
    <w:rsid w:val="36C1778B"/>
    <w:rsid w:val="39EF6808"/>
    <w:rsid w:val="3A345DF9"/>
    <w:rsid w:val="3B977CBF"/>
    <w:rsid w:val="3C797EB2"/>
    <w:rsid w:val="3CA16B81"/>
    <w:rsid w:val="3CE70FA1"/>
    <w:rsid w:val="3CF1348B"/>
    <w:rsid w:val="3D05582A"/>
    <w:rsid w:val="3DDE462C"/>
    <w:rsid w:val="3F2A5652"/>
    <w:rsid w:val="3F5C7DD5"/>
    <w:rsid w:val="3F8D1DF7"/>
    <w:rsid w:val="3FC16416"/>
    <w:rsid w:val="402C3570"/>
    <w:rsid w:val="40976E87"/>
    <w:rsid w:val="40A6100C"/>
    <w:rsid w:val="41A5308F"/>
    <w:rsid w:val="41DD55EC"/>
    <w:rsid w:val="4282199D"/>
    <w:rsid w:val="42D542C2"/>
    <w:rsid w:val="430F11B1"/>
    <w:rsid w:val="43537473"/>
    <w:rsid w:val="43BC29BB"/>
    <w:rsid w:val="449B55D0"/>
    <w:rsid w:val="451630CA"/>
    <w:rsid w:val="456F75B7"/>
    <w:rsid w:val="45921F36"/>
    <w:rsid w:val="46031658"/>
    <w:rsid w:val="48C301A1"/>
    <w:rsid w:val="49381995"/>
    <w:rsid w:val="494C01F4"/>
    <w:rsid w:val="49711986"/>
    <w:rsid w:val="49F91B62"/>
    <w:rsid w:val="4B105AC6"/>
    <w:rsid w:val="4B904E89"/>
    <w:rsid w:val="4C2F6420"/>
    <w:rsid w:val="4CA20757"/>
    <w:rsid w:val="4CB5339B"/>
    <w:rsid w:val="4CD74010"/>
    <w:rsid w:val="4D913251"/>
    <w:rsid w:val="4DD252B5"/>
    <w:rsid w:val="4FBC20E2"/>
    <w:rsid w:val="4FF27E90"/>
    <w:rsid w:val="50D50306"/>
    <w:rsid w:val="51E657D3"/>
    <w:rsid w:val="533A3AC2"/>
    <w:rsid w:val="534F6BA6"/>
    <w:rsid w:val="53716D24"/>
    <w:rsid w:val="545A4256"/>
    <w:rsid w:val="547B428B"/>
    <w:rsid w:val="55084428"/>
    <w:rsid w:val="55340A97"/>
    <w:rsid w:val="55466588"/>
    <w:rsid w:val="55FA0B35"/>
    <w:rsid w:val="56743063"/>
    <w:rsid w:val="57C1754D"/>
    <w:rsid w:val="57CC0ADA"/>
    <w:rsid w:val="58790192"/>
    <w:rsid w:val="597E4543"/>
    <w:rsid w:val="59D45112"/>
    <w:rsid w:val="59F75904"/>
    <w:rsid w:val="5A261275"/>
    <w:rsid w:val="5B8A2054"/>
    <w:rsid w:val="5DE476E4"/>
    <w:rsid w:val="5E1703BA"/>
    <w:rsid w:val="5EB12C47"/>
    <w:rsid w:val="5EB442E0"/>
    <w:rsid w:val="60251BBC"/>
    <w:rsid w:val="61637227"/>
    <w:rsid w:val="624F6EEF"/>
    <w:rsid w:val="62960B4F"/>
    <w:rsid w:val="62EE327E"/>
    <w:rsid w:val="630A4AC2"/>
    <w:rsid w:val="6377213E"/>
    <w:rsid w:val="641D0D49"/>
    <w:rsid w:val="663C1A0D"/>
    <w:rsid w:val="66641213"/>
    <w:rsid w:val="671F0D5B"/>
    <w:rsid w:val="68235A1D"/>
    <w:rsid w:val="68656A71"/>
    <w:rsid w:val="68E1201D"/>
    <w:rsid w:val="6A303B47"/>
    <w:rsid w:val="6A987F7C"/>
    <w:rsid w:val="6AAE2B18"/>
    <w:rsid w:val="6AF755A5"/>
    <w:rsid w:val="6B737754"/>
    <w:rsid w:val="6BB55589"/>
    <w:rsid w:val="6CB947C1"/>
    <w:rsid w:val="6D1871B2"/>
    <w:rsid w:val="6D3564FB"/>
    <w:rsid w:val="6D643A97"/>
    <w:rsid w:val="6EA26E6B"/>
    <w:rsid w:val="6F0D3BBF"/>
    <w:rsid w:val="6F3C6A8F"/>
    <w:rsid w:val="6F71097A"/>
    <w:rsid w:val="6F901C8B"/>
    <w:rsid w:val="6FAB1A3E"/>
    <w:rsid w:val="70832F22"/>
    <w:rsid w:val="73A711B1"/>
    <w:rsid w:val="759A30E2"/>
    <w:rsid w:val="75BE094C"/>
    <w:rsid w:val="75F06371"/>
    <w:rsid w:val="76C375E1"/>
    <w:rsid w:val="76C515AB"/>
    <w:rsid w:val="771D748C"/>
    <w:rsid w:val="787053ED"/>
    <w:rsid w:val="78EB4D7D"/>
    <w:rsid w:val="79C95770"/>
    <w:rsid w:val="79D8521D"/>
    <w:rsid w:val="7AE00762"/>
    <w:rsid w:val="7B9854E0"/>
    <w:rsid w:val="7D7F24B4"/>
    <w:rsid w:val="7E342E45"/>
    <w:rsid w:val="7EED169F"/>
    <w:rsid w:val="7EF0118F"/>
    <w:rsid w:val="7F546B4E"/>
    <w:rsid w:val="7F852613"/>
    <w:rsid w:val="7F9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7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autoRedefine/>
    <w:qFormat/>
    <w:uiPriority w:val="20"/>
    <w:rPr>
      <w:b/>
      <w:bCs/>
    </w:rPr>
  </w:style>
  <w:style w:type="character" w:styleId="14">
    <w:name w:val="HTML Definition"/>
    <w:basedOn w:val="10"/>
    <w:autoRedefine/>
    <w:semiHidden/>
    <w:unhideWhenUsed/>
    <w:qFormat/>
    <w:uiPriority w:val="99"/>
  </w:style>
  <w:style w:type="character" w:styleId="15">
    <w:name w:val="HTML Typewriter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autoRedefine/>
    <w:semiHidden/>
    <w:unhideWhenUsed/>
    <w:qFormat/>
    <w:uiPriority w:val="99"/>
  </w:style>
  <w:style w:type="character" w:styleId="17">
    <w:name w:val="HTML Variable"/>
    <w:basedOn w:val="10"/>
    <w:autoRedefine/>
    <w:semiHidden/>
    <w:unhideWhenUsed/>
    <w:qFormat/>
    <w:uiPriority w:val="99"/>
  </w:style>
  <w:style w:type="character" w:styleId="18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HTML Code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autoRedefine/>
    <w:semiHidden/>
    <w:unhideWhenUsed/>
    <w:qFormat/>
    <w:uiPriority w:val="99"/>
  </w:style>
  <w:style w:type="character" w:styleId="21">
    <w:name w:val="HTML Keyboard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autoRedefine/>
    <w:semiHidden/>
    <w:unhideWhenUsed/>
    <w:qFormat/>
    <w:uiPriority w:val="99"/>
    <w:rPr>
      <w:rFonts w:ascii="monospace" w:hAnsi="monospace" w:eastAsia="monospace" w:cs="monospac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25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26">
    <w:name w:val="标题 1 字符"/>
    <w:basedOn w:val="10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7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hart" Target="charts/chart19.xml"/><Relationship Id="rId21" Type="http://schemas.openxmlformats.org/officeDocument/2006/relationships/chart" Target="charts/chart18.xml"/><Relationship Id="rId20" Type="http://schemas.openxmlformats.org/officeDocument/2006/relationships/chart" Target="charts/chart17.xml"/><Relationship Id="rId2" Type="http://schemas.openxmlformats.org/officeDocument/2006/relationships/settings" Target="settings.xml"/><Relationship Id="rId19" Type="http://schemas.openxmlformats.org/officeDocument/2006/relationships/chart" Target="charts/chart16.xml"/><Relationship Id="rId18" Type="http://schemas.openxmlformats.org/officeDocument/2006/relationships/chart" Target="charts/chart15.xml"/><Relationship Id="rId17" Type="http://schemas.openxmlformats.org/officeDocument/2006/relationships/chart" Target="charts/chart14.xml"/><Relationship Id="rId16" Type="http://schemas.openxmlformats.org/officeDocument/2006/relationships/chart" Target="charts/chart13.xml"/><Relationship Id="rId15" Type="http://schemas.openxmlformats.org/officeDocument/2006/relationships/chart" Target="charts/chart12.xml"/><Relationship Id="rId14" Type="http://schemas.openxmlformats.org/officeDocument/2006/relationships/chart" Target="charts/chart11.xml"/><Relationship Id="rId13" Type="http://schemas.openxmlformats.org/officeDocument/2006/relationships/chart" Target="charts/chart10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package" Target="../embeddings/Workbook11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microsoft.com/office/2011/relationships/chartStyle" Target="style15.xml"/><Relationship Id="rId1" Type="http://schemas.openxmlformats.org/officeDocument/2006/relationships/package" Target="../embeddings/Workbook15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package" Target="../embeddings/Workbook9.xlsx"/></Relationships>
</file>

<file path=word/charts/_rels/chart14.xml.rels><?xml version="1.0" encoding="UTF-8" standalone="yes"?>
<Relationships xmlns="http://schemas.openxmlformats.org/package/2006/relationships"><Relationship Id="rId4" Type="http://schemas.microsoft.com/office/2011/relationships/chartColorStyle" Target="colors10.xml"/><Relationship Id="rId3" Type="http://schemas.microsoft.com/office/2011/relationships/chartStyle" Target="style10.xml"/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10.xlsx"/></Relationships>
</file>

<file path=word/charts/_rels/chart15.xml.rels><?xml version="1.0" encoding="UTF-8" standalone="yes"?>
<Relationships xmlns="http://schemas.openxmlformats.org/package/2006/relationships"><Relationship Id="rId4" Type="http://schemas.microsoft.com/office/2011/relationships/chartColorStyle" Target="colors5.xml"/><Relationship Id="rId3" Type="http://schemas.microsoft.com/office/2011/relationships/chartStyle" Target="style5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5.xlsx"/></Relationships>
</file>

<file path=word/charts/_rels/chart16.xml.rels><?xml version="1.0" encoding="UTF-8" standalone="yes"?>
<Relationships xmlns="http://schemas.openxmlformats.org/package/2006/relationships"><Relationship Id="rId4" Type="http://schemas.microsoft.com/office/2011/relationships/chartColorStyle" Target="colors14.xml"/><Relationship Id="rId3" Type="http://schemas.microsoft.com/office/2011/relationships/chartStyle" Target="style14.xml"/><Relationship Id="rId2" Type="http://schemas.openxmlformats.org/officeDocument/2006/relationships/themeOverride" Target="../theme/themeOverride3.xml"/><Relationship Id="rId1" Type="http://schemas.openxmlformats.org/officeDocument/2006/relationships/package" Target="../embeddings/Workbook14.xlsx"/></Relationships>
</file>

<file path=word/charts/_rels/chart17.xml.rels><?xml version="1.0" encoding="UTF-8" standalone="yes"?>
<Relationships xmlns="http://schemas.openxmlformats.org/package/2006/relationships"><Relationship Id="rId4" Type="http://schemas.microsoft.com/office/2011/relationships/chartColorStyle" Target="colors19.xml"/><Relationship Id="rId3" Type="http://schemas.microsoft.com/office/2011/relationships/chartStyle" Target="style19.xml"/><Relationship Id="rId2" Type="http://schemas.openxmlformats.org/officeDocument/2006/relationships/themeOverride" Target="../theme/themeOverride4.xml"/><Relationship Id="rId1" Type="http://schemas.openxmlformats.org/officeDocument/2006/relationships/package" Target="../embeddings/Workbook19.xlsx"/></Relationships>
</file>

<file path=word/charts/_rels/chart18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19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microsoft.com/office/2011/relationships/chartStyle" Target="style16.xml"/><Relationship Id="rId1" Type="http://schemas.openxmlformats.org/officeDocument/2006/relationships/package" Target="../embeddings/Workbook16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6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Workbook7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17.xml"/><Relationship Id="rId2" Type="http://schemas.microsoft.com/office/2011/relationships/chartStyle" Target="style17.xml"/><Relationship Id="rId1" Type="http://schemas.openxmlformats.org/officeDocument/2006/relationships/package" Target="../embeddings/Workbook17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microsoft.com/office/2011/relationships/chartStyle" Target="style12.xml"/><Relationship Id="rId1" Type="http://schemas.openxmlformats.org/officeDocument/2006/relationships/package" Target="../embeddings/Workbook12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package" Target="../embeddings/Workbook8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microsoft.com/office/2011/relationships/chartStyle" Target="style13.xml"/><Relationship Id="rId1" Type="http://schemas.openxmlformats.org/officeDocument/2006/relationships/package" Target="../embeddings/Workbook13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18.xml"/><Relationship Id="rId2" Type="http://schemas.microsoft.com/office/2011/relationships/chartStyle" Target="style18.xml"/><Relationship Id="rId1" Type="http://schemas.openxmlformats.org/officeDocument/2006/relationships/package" Target="../embeddings/Workbook1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2025</a:t>
            </a:r>
            <a:r>
              <a:rPr lang="zh-CN" altLang="en-US"/>
              <a:t>年第三季度与</a:t>
            </a:r>
            <a:r>
              <a:rPr lang="en-US" altLang="zh-CN"/>
              <a:t>2024</a:t>
            </a:r>
            <a:r>
              <a:rPr lang="zh-CN" altLang="en-US"/>
              <a:t>年第三季度交易总数对比</a:t>
            </a:r>
            <a:endParaRPr lang="zh-CN" altLang="en-US"/>
          </a:p>
        </c:rich>
      </c:tx>
      <c:layout>
        <c:manualLayout>
          <c:xMode val="edge"/>
          <c:yMode val="edge"/>
          <c:x val="0.117527649447011"/>
          <c:y val="0.021857923497267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2025年第三季度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204</c:v>
                </c:pt>
                <c:pt idx="1" c:formatCode="#,##0.00">
                  <c:v>37.78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2024年第三季度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245</c:v>
                </c:pt>
                <c:pt idx="1" c:formatCode="#,##0.00">
                  <c:v>27.26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7957424"/>
        <c:axId val="1227966128"/>
      </c:barChart>
      <c:catAx>
        <c:axId val="122795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66128"/>
        <c:crosses val="autoZero"/>
        <c:auto val="1"/>
        <c:lblAlgn val="ctr"/>
        <c:lblOffset val="100"/>
        <c:noMultiLvlLbl val="0"/>
      </c:catAx>
      <c:valAx>
        <c:axId val="12279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574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tr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6fa8b22-44e3-41d5-b06c-db3c68744b2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dist"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</c:v>
                </c:pt>
                <c:pt idx="1">
                  <c:v>13</c:v>
                </c:pt>
                <c:pt idx="2">
                  <c:v>29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0720"/>
        <c:axId val="1146491264"/>
      </c:barChart>
      <c:catAx>
        <c:axId val="114649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1264"/>
        <c:crosses val="autoZero"/>
        <c:auto val="1"/>
        <c:lblAlgn val="ctr"/>
        <c:lblOffset val="100"/>
        <c:noMultiLvlLbl val="0"/>
      </c:catAx>
      <c:valAx>
        <c:axId val="114649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07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4a06e03-2495-4dba-9491-a592ab83538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交易额(亿元)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0.3</c:v>
                </c:pt>
                <c:pt idx="1">
                  <c:v>0.12</c:v>
                </c:pt>
                <c:pt idx="2">
                  <c:v>0.68</c:v>
                </c:pt>
                <c:pt idx="3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6704"/>
        <c:axId val="1146519552"/>
      </c:barChart>
      <c:catAx>
        <c:axId val="114649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9552"/>
        <c:crosses val="autoZero"/>
        <c:auto val="1"/>
        <c:lblAlgn val="ctr"/>
        <c:lblOffset val="100"/>
        <c:noMultiLvlLbl val="0"/>
      </c:catAx>
      <c:valAx>
        <c:axId val="114651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67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25e2def-d488-4033-b6e0-74e385affb4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市本级</c:v>
                </c:pt>
                <c:pt idx="1">
                  <c:v>贡井区</c:v>
                </c:pt>
                <c:pt idx="2">
                  <c:v>沿滩区</c:v>
                </c:pt>
                <c:pt idx="3">
                  <c:v>大安区</c:v>
                </c:pt>
                <c:pt idx="4">
                  <c:v>荣县</c:v>
                </c:pt>
                <c:pt idx="5">
                  <c:v>富顺县</c:v>
                </c:pt>
                <c:pt idx="6">
                  <c:v>自流井区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25</c:v>
                </c:pt>
                <c:pt idx="1">
                  <c:v>2</c:v>
                </c:pt>
                <c:pt idx="2">
                  <c:v>10</c:v>
                </c:pt>
                <c:pt idx="3">
                  <c:v>5</c:v>
                </c:pt>
                <c:pt idx="4">
                  <c:v>7</c:v>
                </c:pt>
                <c:pt idx="5">
                  <c:v>6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0096"/>
        <c:axId val="1146492352"/>
      </c:barChart>
      <c:catAx>
        <c:axId val="114652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2352"/>
        <c:crosses val="autoZero"/>
        <c:auto val="1"/>
        <c:lblAlgn val="ctr"/>
        <c:lblOffset val="100"/>
        <c:noMultiLvlLbl val="0"/>
      </c:catAx>
      <c:valAx>
        <c:axId val="1146492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200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83962b9-e9c4-46e5-9c0f-04ab648bf4f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交易额(万元)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市本级</c:v>
                </c:pt>
                <c:pt idx="1">
                  <c:v>贡井区</c:v>
                </c:pt>
                <c:pt idx="2">
                  <c:v>沿滩区</c:v>
                </c:pt>
                <c:pt idx="3">
                  <c:v>大安区</c:v>
                </c:pt>
                <c:pt idx="4">
                  <c:v>荣县</c:v>
                </c:pt>
                <c:pt idx="5">
                  <c:v>富顺县</c:v>
                </c:pt>
                <c:pt idx="6">
                  <c:v>自流井区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0.7</c:v>
                </c:pt>
                <c:pt idx="1">
                  <c:v>0.01</c:v>
                </c:pt>
                <c:pt idx="2">
                  <c:v>0.18</c:v>
                </c:pt>
                <c:pt idx="3">
                  <c:v>0.09</c:v>
                </c:pt>
                <c:pt idx="4">
                  <c:v>0.09</c:v>
                </c:pt>
                <c:pt idx="5">
                  <c:v>0.08</c:v>
                </c:pt>
                <c:pt idx="6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1728"/>
        <c:axId val="1146516288"/>
      </c:barChart>
      <c:catAx>
        <c:axId val="114652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6288"/>
        <c:crosses val="autoZero"/>
        <c:auto val="1"/>
        <c:lblAlgn val="ctr"/>
        <c:lblOffset val="100"/>
        <c:noMultiLvlLbl val="0"/>
      </c:catAx>
      <c:valAx>
        <c:axId val="114651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217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cd5d5a8-127e-4dea-b78f-91feeb42483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rgbClr val="5B9BD5">
                    <a:satMod val="103000"/>
                    <a:lumMod val="102000"/>
                    <a:tint val="94000"/>
                  </a:srgbClr>
                </a:gs>
                <a:gs pos="50000">
                  <a:srgbClr val="5B9BD5">
                    <a:satMod val="110000"/>
                    <a:lumMod val="100000"/>
                    <a:shade val="100000"/>
                  </a:srgbClr>
                </a:gs>
                <a:gs pos="100000">
                  <a:srgbClr val="5B9BD5">
                    <a:lumMod val="99000"/>
                    <a:satMod val="120000"/>
                    <a:shade val="78000"/>
                  </a:srgb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  <c:pt idx="4">
                  <c:v>单一来源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</c:v>
                </c:pt>
                <c:pt idx="1">
                  <c:v>5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0720"/>
        <c:axId val="1146491264"/>
      </c:barChart>
      <c:catAx>
        <c:axId val="114649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1146491264"/>
        <c:crosses val="autoZero"/>
        <c:auto val="1"/>
        <c:lblAlgn val="ctr"/>
        <c:lblOffset val="100"/>
        <c:noMultiLvlLbl val="0"/>
      </c:catAx>
      <c:valAx>
        <c:axId val="114649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11464907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4a06e03-2495-4dba-9491-a592ab835389}"/>
      </c:ext>
    </c:extLst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交易额(亿元)</c:v>
                </c:pt>
              </c:strCache>
            </c:strRef>
          </c:tx>
          <c:spPr>
            <a:gradFill rotWithShape="1">
              <a:gsLst>
                <a:gs pos="0">
                  <a:srgbClr val="5B9BD5">
                    <a:satMod val="103000"/>
                    <a:lumMod val="102000"/>
                    <a:tint val="94000"/>
                  </a:srgbClr>
                </a:gs>
                <a:gs pos="50000">
                  <a:srgbClr val="5B9BD5">
                    <a:satMod val="110000"/>
                    <a:lumMod val="100000"/>
                    <a:shade val="100000"/>
                  </a:srgbClr>
                </a:gs>
                <a:gs pos="100000">
                  <a:srgbClr val="5B9BD5">
                    <a:lumMod val="99000"/>
                    <a:satMod val="120000"/>
                    <a:shade val="78000"/>
                  </a:srgb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  <c:pt idx="4">
                  <c:v>单一来源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0.38</c:v>
                </c:pt>
                <c:pt idx="1">
                  <c:v>0.04</c:v>
                </c:pt>
                <c:pt idx="2">
                  <c:v>0.009</c:v>
                </c:pt>
                <c:pt idx="3">
                  <c:v>0.006</c:v>
                </c:pt>
                <c:pt idx="4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6704"/>
        <c:axId val="1146519552"/>
      </c:barChart>
      <c:catAx>
        <c:axId val="114649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1146519552"/>
        <c:crosses val="autoZero"/>
        <c:auto val="1"/>
        <c:lblAlgn val="ctr"/>
        <c:lblOffset val="100"/>
        <c:noMultiLvlLbl val="0"/>
      </c:catAx>
      <c:valAx>
        <c:axId val="114651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11464967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25e2def-d488-4033-b6e0-74e385affb4d}"/>
      </c:ext>
    </c:extLst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rgbClr val="5B9BD5">
                    <a:satMod val="103000"/>
                    <a:lumMod val="102000"/>
                    <a:tint val="94000"/>
                  </a:srgbClr>
                </a:gs>
                <a:gs pos="50000">
                  <a:srgbClr val="5B9BD5">
                    <a:satMod val="110000"/>
                    <a:lumMod val="100000"/>
                    <a:shade val="100000"/>
                  </a:srgbClr>
                </a:gs>
                <a:gs pos="100000">
                  <a:srgbClr val="5B9BD5">
                    <a:lumMod val="99000"/>
                    <a:satMod val="120000"/>
                    <a:shade val="78000"/>
                  </a:srgb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市本级</c:v>
                </c:pt>
                <c:pt idx="1">
                  <c:v>荣县</c:v>
                </c:pt>
                <c:pt idx="2">
                  <c:v>自流井区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0096"/>
        <c:axId val="1146492352"/>
      </c:barChart>
      <c:catAx>
        <c:axId val="114652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1146492352"/>
        <c:crosses val="autoZero"/>
        <c:auto val="1"/>
        <c:lblAlgn val="ctr"/>
        <c:lblOffset val="100"/>
        <c:noMultiLvlLbl val="0"/>
      </c:catAx>
      <c:valAx>
        <c:axId val="1146492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11465200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83962b9-e9c4-46e5-9c0f-04ab648bf4f0}"/>
      </c:ext>
    </c:extLst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交易额(亿元)</c:v>
                </c:pt>
              </c:strCache>
            </c:strRef>
          </c:tx>
          <c:spPr>
            <a:gradFill rotWithShape="1">
              <a:gsLst>
                <a:gs pos="0">
                  <a:srgbClr val="5B9BD5">
                    <a:satMod val="103000"/>
                    <a:lumMod val="102000"/>
                    <a:tint val="94000"/>
                  </a:srgbClr>
                </a:gs>
                <a:gs pos="50000">
                  <a:srgbClr val="5B9BD5">
                    <a:satMod val="110000"/>
                    <a:lumMod val="100000"/>
                    <a:shade val="100000"/>
                  </a:srgbClr>
                </a:gs>
                <a:gs pos="100000">
                  <a:srgbClr val="5B9BD5">
                    <a:lumMod val="99000"/>
                    <a:satMod val="120000"/>
                    <a:shade val="78000"/>
                  </a:srgb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市本级</c:v>
                </c:pt>
                <c:pt idx="1">
                  <c:v>荣县</c:v>
                </c:pt>
                <c:pt idx="2">
                  <c:v>自流井区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0.28</c:v>
                </c:pt>
                <c:pt idx="1">
                  <c:v>0.19</c:v>
                </c:pt>
                <c:pt idx="2">
                  <c:v>0.006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1728"/>
        <c:axId val="1146516288"/>
      </c:barChart>
      <c:catAx>
        <c:axId val="114652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1146516288"/>
        <c:crosses val="autoZero"/>
        <c:auto val="1"/>
        <c:lblAlgn val="ctr"/>
        <c:lblOffset val="100"/>
        <c:noMultiLvlLbl val="0"/>
      </c:catAx>
      <c:valAx>
        <c:axId val="114651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11465217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cd5d5a8-127e-4dea-b78f-91feeb42483b}"/>
      </c:ext>
    </c:extLst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土地交易</a:t>
            </a:r>
            <a:r>
              <a:rPr lang="en-US" altLang="zh-CN"/>
              <a:t>2025</a:t>
            </a:r>
            <a:r>
              <a:rPr lang="zh-CN" altLang="en-US"/>
              <a:t>年第三季度与</a:t>
            </a:r>
            <a:r>
              <a:rPr lang="en-US" altLang="zh-CN"/>
              <a:t>2024</a:t>
            </a:r>
            <a:r>
              <a:rPr altLang="en-US"/>
              <a:t>第三季度</a:t>
            </a:r>
            <a:endParaRPr lang="en-US" altLang="zh-CN"/>
          </a:p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2025年第三季度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交易数量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13.64</c:v>
                </c:pt>
                <c:pt idx="1">
                  <c:v>17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2024年第三季度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交易数量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0.17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499424"/>
        <c:axId val="1146508128"/>
      </c:barChart>
      <c:catAx>
        <c:axId val="114649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8128"/>
        <c:crosses val="autoZero"/>
        <c:auto val="1"/>
        <c:lblAlgn val="ctr"/>
        <c:lblOffset val="100"/>
        <c:noMultiLvlLbl val="0"/>
      </c:catAx>
      <c:valAx>
        <c:axId val="114650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9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5308006817873"/>
          <c:y val="0.245443919510061"/>
          <c:w val="0.210163440725288"/>
          <c:h val="0.15000104986876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1acf76b-2935-4020-82ef-0007ef7b2ff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国有产权</a:t>
            </a:r>
            <a:r>
              <a:rPr lang="en-US" altLang="zh-CN"/>
              <a:t>2025</a:t>
            </a:r>
            <a:r>
              <a:rPr lang="zh-CN" altLang="en-US"/>
              <a:t>年第三季度与</a:t>
            </a:r>
            <a:r>
              <a:rPr lang="en-US" altLang="zh-CN"/>
              <a:t>2024</a:t>
            </a:r>
            <a:r>
              <a:rPr lang="zh-CN" altLang="en-US"/>
              <a:t>年第三季度</a:t>
            </a:r>
            <a:endParaRPr lang="en-US" altLang="zh-CN"/>
          </a:p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2025年第三季度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0.0056</c:v>
                </c:pt>
                <c:pt idx="1">
                  <c:v>17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2024年第三季度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0.33</c:v>
                </c:pt>
                <c:pt idx="1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515744"/>
        <c:axId val="1146509760"/>
      </c:barChart>
      <c:catAx>
        <c:axId val="114651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9760"/>
        <c:crosses val="autoZero"/>
        <c:auto val="1"/>
        <c:lblAlgn val="ctr"/>
        <c:lblOffset val="100"/>
        <c:noMultiLvlLbl val="0"/>
      </c:catAx>
      <c:valAx>
        <c:axId val="114650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57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98874b1-c576-4ffb-bc3c-c73ecd85333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交易项目金额比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267427122940431"/>
                  <c:y val="-0.00808823529411765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219518377693283"/>
                  <c:y val="0.078921568627451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0.145796857035617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06970849176172"/>
                      <c:h val="0.19117647058823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"/>
                  <c:y val="0.0514705882352941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326996197718631"/>
                  <c:y val="0.0490196078431373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9226869455006"/>
                      <c:h val="0.162745098039216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332319391634981"/>
                  <c:y val="0.0980392156862745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建设工程</c:v>
                </c:pt>
                <c:pt idx="1">
                  <c:v>政府集中采购</c:v>
                </c:pt>
                <c:pt idx="2">
                  <c:v>政府分散采购</c:v>
                </c:pt>
                <c:pt idx="3">
                  <c:v>土地使用权</c:v>
                </c:pt>
                <c:pt idx="4">
                  <c:v>国有产权</c:v>
                </c:pt>
                <c:pt idx="5">
                  <c:v>其他交易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22.62</c:v>
                </c:pt>
                <c:pt idx="1">
                  <c:v>1.17</c:v>
                </c:pt>
                <c:pt idx="2">
                  <c:v>0.48</c:v>
                </c:pt>
                <c:pt idx="3">
                  <c:v>13.64</c:v>
                </c:pt>
                <c:pt idx="4">
                  <c:v>0.01</c:v>
                </c:pt>
                <c:pt idx="5">
                  <c:v>0.03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81098f5-1646-4acd-a030-d82ba3ff7ae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交易项目宗数比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/>
          <c:explosion val="1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119521912350598"/>
                  <c:y val="0.19242979242979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48293067732627"/>
                  <c:y val="-0.0678876678876679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621513944223108"/>
                  <c:y val="0.027106227106227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7742363877822"/>
                      <c:h val="0.19047619047619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315803452855246"/>
                  <c:y val="0.089377289377289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62018592297477"/>
                      <c:h val="0.1904761904761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建设工程</c:v>
                </c:pt>
                <c:pt idx="1">
                  <c:v>政府集中采购</c:v>
                </c:pt>
                <c:pt idx="2">
                  <c:v>政府分散采购</c:v>
                </c:pt>
                <c:pt idx="3">
                  <c:v>土地使用权</c:v>
                </c:pt>
                <c:pt idx="4">
                  <c:v>国有产权</c:v>
                </c:pt>
                <c:pt idx="5">
                  <c:v>其他交易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105</c:v>
                </c:pt>
                <c:pt idx="1">
                  <c:v>56</c:v>
                </c:pt>
                <c:pt idx="2">
                  <c:v>17</c:v>
                </c:pt>
                <c:pt idx="3">
                  <c:v>17</c:v>
                </c:pt>
                <c:pt idx="4">
                  <c:v>7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718a473-2e38-44fc-adec-7c23e3571e4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26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zh-CN" altLang="en-US" sz="1260"/>
              <a:t>建设工程</a:t>
            </a:r>
            <a:r>
              <a:rPr lang="en-US" altLang="zh-CN" sz="1260"/>
              <a:t>2025</a:t>
            </a:r>
            <a:r>
              <a:rPr lang="zh-CN" altLang="en-US" sz="1260"/>
              <a:t>年第三季度与</a:t>
            </a:r>
            <a:r>
              <a:rPr lang="en-US" altLang="zh-CN" sz="1260"/>
              <a:t>2024</a:t>
            </a:r>
            <a:r>
              <a:rPr lang="zh-CN" altLang="en-US" sz="1260"/>
              <a:t>年第三季度对比图</a:t>
            </a:r>
            <a:endParaRPr lang="zh-CN" altLang="en-US" sz="126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2025年第三季度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22.62</c:v>
                </c:pt>
                <c:pt idx="1" c:formatCode="General">
                  <c:v>105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2024年第三季度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25.45</c:v>
                </c:pt>
                <c:pt idx="1">
                  <c:v>120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7974288"/>
        <c:axId val="1227975920"/>
      </c:barChart>
      <c:catAx>
        <c:axId val="122797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5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75920"/>
        <c:crosses val="autoZero"/>
        <c:auto val="1"/>
        <c:lblAlgn val="ctr"/>
        <c:lblOffset val="100"/>
        <c:noMultiLvlLbl val="0"/>
      </c:catAx>
      <c:valAx>
        <c:axId val="122797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7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845850340136054"/>
          <c:y val="0.0854928017718716"/>
          <c:w val="0.141224489795918"/>
          <c:h val="0.34462901439645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03e0746-64df-465b-8970-16323d9e578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5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交易类别金额比</a:t>
            </a:r>
          </a:p>
        </c:rich>
      </c:tx>
      <c:layout>
        <c:manualLayout>
          <c:xMode val="edge"/>
          <c:yMode val="edge"/>
          <c:x val="0.227703470399533"/>
          <c:y val="0.03319502074688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7832582404553"/>
          <c:y val="0.246746746746747"/>
          <c:w val="0.626037467393882"/>
          <c:h val="0.66066066066066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交易项目金额比</c:v>
                </c:pt>
              </c:strCache>
            </c:strRef>
          </c:tx>
          <c:spPr/>
          <c:explosion val="4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explosion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explosion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0211050509841119"/>
                  <c:y val="0.016766766766766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房建</c:v>
                </c:pt>
                <c:pt idx="1">
                  <c:v>市政</c:v>
                </c:pt>
                <c:pt idx="2">
                  <c:v>交通工程</c:v>
                </c:pt>
                <c:pt idx="3">
                  <c:v>水利</c:v>
                </c:pt>
                <c:pt idx="4">
                  <c:v>其他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2.77</c:v>
                </c:pt>
                <c:pt idx="1">
                  <c:v>9.97</c:v>
                </c:pt>
                <c:pt idx="2">
                  <c:v>0.56</c:v>
                </c:pt>
                <c:pt idx="3">
                  <c:v>3.37</c:v>
                </c:pt>
                <c:pt idx="4">
                  <c:v>5.94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dbc0326-120b-491f-aa93-e078ce2286f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交易类别项目分布</a:t>
            </a:r>
          </a:p>
        </c:rich>
      </c:tx>
      <c:layout>
        <c:manualLayout>
          <c:xMode val="edge"/>
          <c:yMode val="edge"/>
          <c:x val="0.169510664993726"/>
          <c:y val="0.0106653123412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20075282308657"/>
          <c:y val="0.239715591670899"/>
          <c:w val="0.62961104140527"/>
          <c:h val="0.63712544438801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"/>
                  <c:y val="0.0337734890807517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2308657465496"/>
                      <c:h val="0.198070086338243"/>
                    </c:manualLayout>
                  </c15:layout>
                </c:ext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0170639899623588"/>
                  <c:y val="0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7038895859473"/>
                      <c:h val="0.13712544438801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05897114178168"/>
                  <c:y val="0.146775012696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64617314930991"/>
                  <c:y val="0.078974098527171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7503136762861"/>
                      <c:h val="0.19807008633824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房建</c:v>
                </c:pt>
                <c:pt idx="1">
                  <c:v>市政</c:v>
                </c:pt>
                <c:pt idx="2">
                  <c:v>交通工程</c:v>
                </c:pt>
                <c:pt idx="3">
                  <c:v>水利</c:v>
                </c:pt>
                <c:pt idx="4">
                  <c:v>其他项目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39</c:v>
                </c:pt>
                <c:pt idx="1">
                  <c:v>24</c:v>
                </c:pt>
                <c:pt idx="2">
                  <c:v>6</c:v>
                </c:pt>
                <c:pt idx="3">
                  <c:v>8</c:v>
                </c:pt>
                <c:pt idx="4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6efb6e4-2dc6-4d5b-a58c-869200e901a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全市建设工程项目区域分布</a:t>
            </a:r>
          </a:p>
        </c:rich>
      </c:tx>
      <c:layout>
        <c:manualLayout>
          <c:xMode val="edge"/>
          <c:yMode val="edge"/>
          <c:x val="0.255289231622967"/>
          <c:y val="0.0041245617653124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全市建设工程项目区域分布
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市本级</c:v>
                </c:pt>
                <c:pt idx="1">
                  <c:v>富顺县</c:v>
                </c:pt>
                <c:pt idx="2">
                  <c:v>荣县</c:v>
                </c:pt>
                <c:pt idx="3">
                  <c:v>沿滩区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48</c:v>
                </c:pt>
                <c:pt idx="1">
                  <c:v>24</c:v>
                </c:pt>
                <c:pt idx="2">
                  <c:v>30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0ed6e73-a4ec-4217-aa80-004f1483dfe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全市建设工程项目区域金额比</a:t>
            </a:r>
          </a:p>
        </c:rich>
      </c:tx>
      <c:layout>
        <c:manualLayout>
          <c:xMode val="edge"/>
          <c:yMode val="edge"/>
          <c:x val="0.24096003689915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全市建设工程项目区域金额比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412050256996"/>
                  <c:y val="0.051997322026333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市本级</c:v>
                </c:pt>
                <c:pt idx="1">
                  <c:v>富顺县</c:v>
                </c:pt>
                <c:pt idx="2">
                  <c:v>荣县</c:v>
                </c:pt>
                <c:pt idx="3">
                  <c:v>沿滩区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13.38</c:v>
                </c:pt>
                <c:pt idx="1">
                  <c:v>1.46</c:v>
                </c:pt>
                <c:pt idx="2">
                  <c:v>6.85</c:v>
                </c:pt>
                <c:pt idx="3">
                  <c:v>0.93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818e336-9855-48e8-bb74-0517a0b08e6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6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黑体" panose="02010609060101010101" charset="-122"/>
                <a:ea typeface="黑体" panose="02010609060101010101" charset="-122"/>
                <a:cs typeface="+mn-cs"/>
              </a:rPr>
              <a:t>政府集中采购</a:t>
            </a:r>
            <a:r>
              <a:rPr lang="en-US" b="0">
                <a:latin typeface="黑体" panose="02010609060101010101" charset="-122"/>
                <a:ea typeface="黑体" panose="02010609060101010101" charset="-122"/>
              </a:rPr>
              <a:t>2025</a:t>
            </a:r>
            <a:r>
              <a:rPr lang="zh-CN" b="0">
                <a:latin typeface="黑体" panose="02010609060101010101" charset="-122"/>
                <a:ea typeface="黑体" panose="02010609060101010101" charset="-122"/>
              </a:rPr>
              <a:t>年第三季度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与</a:t>
            </a:r>
            <a:r>
              <a:rPr lang="en-US" altLang="zh-CN" b="0">
                <a:latin typeface="黑体" panose="02010609060101010101" charset="-122"/>
                <a:ea typeface="黑体" panose="02010609060101010101" charset="-122"/>
              </a:rPr>
              <a:t>2024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年第三季度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b="0">
                <a:latin typeface="黑体" panose="02010609060101010101" charset="-122"/>
                <a:ea typeface="黑体" panose="02010609060101010101" charset="-122"/>
              </a:rPr>
              <a:t>对比图</a:t>
            </a:r>
            <a:endParaRPr 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2025年第三季度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项目数(宗)</c:v>
                </c:pt>
                <c:pt idx="1">
                  <c:v>交易额(亿元)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56</c:v>
                </c:pt>
                <c:pt idx="1" c:formatCode="#,##0.00">
                  <c:v>1.17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2024年第三季度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项目数(宗)</c:v>
                </c:pt>
                <c:pt idx="1">
                  <c:v>交易额(亿元)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66</c:v>
                </c:pt>
                <c:pt idx="1" c:formatCode="#,##0.00">
                  <c:v>1.31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46502144"/>
        <c:axId val="1146511936"/>
      </c:barChart>
      <c:catAx>
        <c:axId val="1146502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1936"/>
        <c:crosses val="autoZero"/>
        <c:auto val="1"/>
        <c:lblAlgn val="ctr"/>
        <c:lblOffset val="100"/>
        <c:noMultiLvlLbl val="0"/>
      </c:catAx>
      <c:valAx>
        <c:axId val="11465119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e6241da-b14d-45be-bf99-1adf84b8822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12700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44546A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ysClr val="windowText" lastClr="000000"/>
    </cs:fontRef>
  </cs:dataPoint>
  <cs:dataPoint3D>
    <cs:lnRef idx="0"/>
    <cs:fillRef idx="3">
      <cs:styleClr val="auto"/>
    </cs:fillRef>
    <cs:effectRef idx="3"/>
    <cs:fontRef idx="minor">
      <a:sysClr val="windowText" lastClr="000000"/>
    </cs:fontRef>
  </cs:dataPoint3D>
  <cs:dataPointLine>
    <cs:lnRef idx="0">
      <cs:styleClr val="auto"/>
    </cs:lnRef>
    <cs:fillRef idx="3"/>
    <cs:effectRef idx="3"/>
    <cs:fontRef idx="minor">
      <a:sysClr val="windowText" lastClr="000000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ysClr val="windowText" lastClr="000000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65000"/>
          <a:lumOff val="35000"/>
        </a:sysClr>
      </a:solidFill>
      <a:ln w="9525">
        <a:solidFill>
          <a:sysClr val="windowText" lastClr="000000">
            <a:lumMod val="65000"/>
            <a:lumOff val="35000"/>
          </a:sysClr>
        </a:solidFill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" lastClr="FFFFFF"/>
    </cs:fontRef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75000"/>
            <a:lumOff val="25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>
    <cs:lnRef idx="0"/>
    <cs:fillRef idx="0"/>
    <cs:effectRef idx="0"/>
    <cs:fontRef idx="minor">
      <a:sysClr val="window" lastClr="FFFFFF"/>
    </cs:fontRef>
  </cs:plotArea>
  <cs:plotArea3D>
    <cs:lnRef idx="0"/>
    <cs:fillRef idx="0"/>
    <cs:effectRef idx="0"/>
    <cs:fontRef idx="minor">
      <a:sysClr val="window" lastClr="FFFFFF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12700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600" b="1" kern="1200" baseline="0"/>
  </cs:title>
  <cs:trendline>
    <cs:lnRef idx="0">
      <cs:styleClr val="auto"/>
    </cs:lnRef>
    <cs:fillRef idx="0"/>
    <cs:effectRef idx="0"/>
    <cs:fontRef idx="minor">
      <a:sysClr val="window" lastClr="FFFFFF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>
        <a:solidFill>
          <a:sysClr val="windowText" lastClr="000000">
            <a:lumMod val="15000"/>
            <a:lumOff val="85000"/>
          </a:sysClr>
        </a:solidFill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" lastClr="FFFFFF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12700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44546A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ysClr val="windowText" lastClr="000000"/>
    </cs:fontRef>
  </cs:dataPoint>
  <cs:dataPoint3D>
    <cs:lnRef idx="0"/>
    <cs:fillRef idx="3">
      <cs:styleClr val="auto"/>
    </cs:fillRef>
    <cs:effectRef idx="3"/>
    <cs:fontRef idx="minor">
      <a:sysClr val="windowText" lastClr="000000"/>
    </cs:fontRef>
  </cs:dataPoint3D>
  <cs:dataPointLine>
    <cs:lnRef idx="0">
      <cs:styleClr val="auto"/>
    </cs:lnRef>
    <cs:fillRef idx="3"/>
    <cs:effectRef idx="3"/>
    <cs:fontRef idx="minor">
      <a:sysClr val="windowText" lastClr="000000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ysClr val="windowText" lastClr="000000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65000"/>
          <a:lumOff val="35000"/>
        </a:sysClr>
      </a:solidFill>
      <a:ln w="9525">
        <a:solidFill>
          <a:sysClr val="windowText" lastClr="000000">
            <a:lumMod val="65000"/>
            <a:lumOff val="35000"/>
          </a:sysClr>
        </a:solidFill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" lastClr="FFFFFF"/>
    </cs:fontRef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75000"/>
            <a:lumOff val="25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>
    <cs:lnRef idx="0"/>
    <cs:fillRef idx="0"/>
    <cs:effectRef idx="0"/>
    <cs:fontRef idx="minor">
      <a:sysClr val="window" lastClr="FFFFFF"/>
    </cs:fontRef>
  </cs:plotArea>
  <cs:plotArea3D>
    <cs:lnRef idx="0"/>
    <cs:fillRef idx="0"/>
    <cs:effectRef idx="0"/>
    <cs:fontRef idx="minor">
      <a:sysClr val="window" lastClr="FFFFFF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12700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600" b="1" kern="1200" baseline="0"/>
  </cs:title>
  <cs:trendline>
    <cs:lnRef idx="0">
      <cs:styleClr val="auto"/>
    </cs:lnRef>
    <cs:fillRef idx="0"/>
    <cs:effectRef idx="0"/>
    <cs:fontRef idx="minor">
      <a:sysClr val="window" lastClr="FFFFFF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>
        <a:solidFill>
          <a:sysClr val="windowText" lastClr="000000">
            <a:lumMod val="15000"/>
            <a:lumOff val="85000"/>
          </a:sysClr>
        </a:solidFill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" lastClr="FFFFFF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12700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44546A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ysClr val="windowText" lastClr="000000"/>
    </cs:fontRef>
  </cs:dataPoint>
  <cs:dataPoint3D>
    <cs:lnRef idx="0"/>
    <cs:fillRef idx="3">
      <cs:styleClr val="auto"/>
    </cs:fillRef>
    <cs:effectRef idx="3"/>
    <cs:fontRef idx="minor">
      <a:sysClr val="windowText" lastClr="000000"/>
    </cs:fontRef>
  </cs:dataPoint3D>
  <cs:dataPointLine>
    <cs:lnRef idx="0">
      <cs:styleClr val="auto"/>
    </cs:lnRef>
    <cs:fillRef idx="3"/>
    <cs:effectRef idx="3"/>
    <cs:fontRef idx="minor">
      <a:sysClr val="windowText" lastClr="000000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ysClr val="windowText" lastClr="000000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65000"/>
          <a:lumOff val="35000"/>
        </a:sysClr>
      </a:solidFill>
      <a:ln w="9525">
        <a:solidFill>
          <a:sysClr val="windowText" lastClr="000000">
            <a:lumMod val="65000"/>
            <a:lumOff val="35000"/>
          </a:sysClr>
        </a:solidFill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" lastClr="FFFFFF"/>
    </cs:fontRef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75000"/>
            <a:lumOff val="25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>
    <cs:lnRef idx="0"/>
    <cs:fillRef idx="0"/>
    <cs:effectRef idx="0"/>
    <cs:fontRef idx="minor">
      <a:sysClr val="window" lastClr="FFFFFF"/>
    </cs:fontRef>
  </cs:plotArea>
  <cs:plotArea3D>
    <cs:lnRef idx="0"/>
    <cs:fillRef idx="0"/>
    <cs:effectRef idx="0"/>
    <cs:fontRef idx="minor">
      <a:sysClr val="window" lastClr="FFFFFF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12700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600" b="1" kern="1200" baseline="0"/>
  </cs:title>
  <cs:trendline>
    <cs:lnRef idx="0">
      <cs:styleClr val="auto"/>
    </cs:lnRef>
    <cs:fillRef idx="0"/>
    <cs:effectRef idx="0"/>
    <cs:fontRef idx="minor">
      <a:sysClr val="window" lastClr="FFFFFF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>
        <a:solidFill>
          <a:sysClr val="windowText" lastClr="000000">
            <a:lumMod val="15000"/>
            <a:lumOff val="85000"/>
          </a:sysClr>
        </a:solidFill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" lastClr="FFFFFF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12700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44546A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ysClr val="windowText" lastClr="000000"/>
    </cs:fontRef>
  </cs:dataPoint>
  <cs:dataPoint3D>
    <cs:lnRef idx="0"/>
    <cs:fillRef idx="3">
      <cs:styleClr val="auto"/>
    </cs:fillRef>
    <cs:effectRef idx="3"/>
    <cs:fontRef idx="minor">
      <a:sysClr val="windowText" lastClr="000000"/>
    </cs:fontRef>
  </cs:dataPoint3D>
  <cs:dataPointLine>
    <cs:lnRef idx="0">
      <cs:styleClr val="auto"/>
    </cs:lnRef>
    <cs:fillRef idx="3"/>
    <cs:effectRef idx="3"/>
    <cs:fontRef idx="minor">
      <a:sysClr val="windowText" lastClr="000000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ysClr val="windowText" lastClr="000000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65000"/>
          <a:lumOff val="35000"/>
        </a:sysClr>
      </a:solidFill>
      <a:ln w="9525">
        <a:solidFill>
          <a:sysClr val="windowText" lastClr="000000">
            <a:lumMod val="65000"/>
            <a:lumOff val="35000"/>
          </a:sysClr>
        </a:solidFill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" lastClr="FFFFFF"/>
    </cs:fontRef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75000"/>
            <a:lumOff val="25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>
    <cs:lnRef idx="0"/>
    <cs:fillRef idx="0"/>
    <cs:effectRef idx="0"/>
    <cs:fontRef idx="minor">
      <a:sysClr val="window" lastClr="FFFFFF"/>
    </cs:fontRef>
  </cs:plotArea>
  <cs:plotArea3D>
    <cs:lnRef idx="0"/>
    <cs:fillRef idx="0"/>
    <cs:effectRef idx="0"/>
    <cs:fontRef idx="minor">
      <a:sysClr val="window" lastClr="FFFFFF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12700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600" b="1" kern="1200" baseline="0"/>
  </cs:title>
  <cs:trendline>
    <cs:lnRef idx="0">
      <cs:styleClr val="auto"/>
    </cs:lnRef>
    <cs:fillRef idx="0"/>
    <cs:effectRef idx="0"/>
    <cs:fontRef idx="minor">
      <a:sysClr val="window" lastClr="FFFFFF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>
        <a:solidFill>
          <a:sysClr val="windowText" lastClr="000000">
            <a:lumMod val="15000"/>
            <a:lumOff val="85000"/>
          </a:sysClr>
        </a:solidFill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" lastClr="FFFFFF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1419</Words>
  <Characters>1759</Characters>
  <Lines>6</Lines>
  <Paragraphs>4</Paragraphs>
  <TotalTime>5</TotalTime>
  <ScaleCrop>false</ScaleCrop>
  <LinksUpToDate>false</LinksUpToDate>
  <CharactersWithSpaces>1774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2023-04-14T01:49:00Z</dcterms:created>
  <dc:creator>邓斌</dc:creator>
  <cp:lastModifiedBy>贺文瀚</cp:lastModifiedBy>
  <dcterms:modified xsi:type="dcterms:W3CDTF">2025-11-27T06:59:24Z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486FEC496034474A814C341807EDB5FD_13</vt:lpwstr>
  </property>
  <property fmtid="{D5CDD505-2E9C-101B-9397-08002B2CF9AE}" pid="4" name="KSOTemplateDocerSaveRecord">
    <vt:lpwstr>eyJoZGlkIjoiMjNhNTc5MWM3MmE0MmFiZGEwMzExMmI4ZTkxOTBiNjEiLCJ1c2VySWQiOiIxNjU4NjI5OTUwIn0=</vt:lpwstr>
  </property>
</Properties>
</file>