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16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16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12B3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</w:p>
    <w:p w14:paraId="4169E5E2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微软雅黑" w:eastAsia="方正小标宋简体"/>
          <w:sz w:val="44"/>
          <w:szCs w:val="44"/>
        </w:rPr>
        <w:t>交易数据</w:t>
      </w:r>
    </w:p>
    <w:p w14:paraId="2A06ADEC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299047FD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统</w:t>
      </w:r>
    </w:p>
    <w:p w14:paraId="13C52DB3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计</w:t>
      </w:r>
    </w:p>
    <w:p w14:paraId="7B867F1B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分</w:t>
      </w:r>
    </w:p>
    <w:p w14:paraId="7A8500F4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析</w:t>
      </w:r>
    </w:p>
    <w:p w14:paraId="1BB3A6A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报</w:t>
      </w:r>
    </w:p>
    <w:p w14:paraId="5BE15C3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告</w:t>
      </w:r>
    </w:p>
    <w:p w14:paraId="6E48E82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44D0F6F1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自贡市公共资源交易服务中心</w:t>
      </w:r>
    </w:p>
    <w:p w14:paraId="7A75D66D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微软雅黑" w:eastAsia="方正小标宋简体"/>
          <w:sz w:val="44"/>
          <w:szCs w:val="44"/>
        </w:rPr>
        <w:t>月</w:t>
      </w:r>
      <w:r>
        <w:rPr>
          <w:rFonts w:ascii="仿宋" w:hAnsi="仿宋" w:eastAsia="仿宋"/>
          <w:sz w:val="32"/>
          <w:szCs w:val="32"/>
        </w:rPr>
        <w:br w:type="page"/>
      </w:r>
    </w:p>
    <w:p w14:paraId="5BD9C03D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自贡市公共资源交易服务中心</w:t>
      </w:r>
    </w:p>
    <w:p w14:paraId="4E7DC83C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仿宋" w:eastAsia="方正小标宋简体"/>
          <w:sz w:val="44"/>
          <w:szCs w:val="44"/>
        </w:rPr>
        <w:t>交易数据统计分析报告</w:t>
      </w:r>
      <w:bookmarkStart w:id="0" w:name="_Toc72240300"/>
    </w:p>
    <w:p w14:paraId="01ABAB64">
      <w:pPr>
        <w:spacing w:line="560" w:lineRule="exact"/>
        <w:jc w:val="left"/>
        <w:rPr>
          <w:rFonts w:ascii="方正小标宋简体" w:hAnsi="仿宋" w:eastAsia="方正小标宋简体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、交易概况</w:t>
      </w:r>
      <w:bookmarkEnd w:id="0"/>
    </w:p>
    <w:p w14:paraId="34389CBA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（一）总体情况。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2024全年</w:t>
      </w:r>
      <w:r>
        <w:rPr>
          <w:rFonts w:hint="eastAsia" w:ascii="仿宋_GB2312" w:hAnsi="仿宋" w:eastAsia="仿宋_GB2312"/>
          <w:sz w:val="32"/>
          <w:szCs w:val="32"/>
        </w:rPr>
        <w:t>全市完成公共资源交易项目（含工程建设、政府集中采购、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土地矿权</w:t>
      </w:r>
      <w:r>
        <w:rPr>
          <w:rFonts w:hint="eastAsia" w:ascii="仿宋_GB2312" w:hAnsi="仿宋" w:eastAsia="仿宋_GB2312"/>
          <w:sz w:val="32"/>
          <w:szCs w:val="32"/>
        </w:rPr>
        <w:t>、产权交易）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983</w:t>
      </w:r>
      <w:r>
        <w:rPr>
          <w:rFonts w:hint="eastAsia" w:ascii="仿宋_GB2312" w:hAnsi="仿宋" w:eastAsia="仿宋_GB2312"/>
          <w:sz w:val="32"/>
          <w:szCs w:val="32"/>
        </w:rPr>
        <w:t>宗，与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</w:t>
      </w:r>
      <w:r>
        <w:rPr>
          <w:rFonts w:hint="eastAsia" w:ascii="仿宋_GB2312" w:hAnsi="仿宋" w:eastAsia="仿宋_GB2312"/>
          <w:sz w:val="32"/>
          <w:szCs w:val="32"/>
        </w:rPr>
        <w:t>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上涨5.25</w:t>
      </w:r>
      <w:r>
        <w:rPr>
          <w:rFonts w:hint="eastAsia" w:ascii="仿宋_GB2312" w:hAnsi="仿宋" w:eastAsia="仿宋_GB2312"/>
          <w:sz w:val="32"/>
          <w:szCs w:val="32"/>
        </w:rPr>
        <w:t>%；交易总额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187.79亿</w:t>
      </w:r>
      <w:r>
        <w:rPr>
          <w:rFonts w:hint="eastAsia" w:ascii="仿宋_GB2312" w:hAnsi="仿宋" w:eastAsia="仿宋_GB2312"/>
          <w:sz w:val="32"/>
          <w:szCs w:val="32"/>
        </w:rPr>
        <w:t>元，与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3年同</w:t>
      </w:r>
      <w:r>
        <w:rPr>
          <w:rFonts w:hint="eastAsia" w:ascii="仿宋_GB2312" w:hAnsi="仿宋" w:eastAsia="仿宋_GB2312"/>
          <w:sz w:val="32"/>
          <w:szCs w:val="32"/>
        </w:rPr>
        <w:t>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下降18.01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B1BC9E1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535805" cy="3253740"/>
            <wp:effectExtent l="0" t="0" r="17145" b="381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 w14:paraId="48CFCD38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（二）项目分布</w:t>
      </w:r>
      <w:bookmarkStart w:id="4" w:name="_GoBack"/>
      <w:bookmarkEnd w:id="4"/>
    </w:p>
    <w:p w14:paraId="4A542DB3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在交易项目数量方面，建设工程以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497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50.56</w:t>
      </w:r>
      <w:r>
        <w:rPr>
          <w:rFonts w:hint="eastAsia" w:ascii="仿宋_GB2312" w:hAnsi="仿宋" w:eastAsia="仿宋_GB2312"/>
          <w:sz w:val="32"/>
          <w:szCs w:val="32"/>
        </w:rPr>
        <w:t>%）高于其他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类别</w:t>
      </w:r>
      <w:r>
        <w:rPr>
          <w:rFonts w:hint="eastAsia" w:ascii="仿宋_GB2312" w:hAnsi="仿宋" w:eastAsia="仿宋_GB2312"/>
          <w:sz w:val="32"/>
          <w:szCs w:val="32"/>
        </w:rPr>
        <w:t>；在交易金额方面，建设工程项目以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128.76亿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68.57</w:t>
      </w:r>
      <w:r>
        <w:rPr>
          <w:rFonts w:hint="eastAsia" w:ascii="仿宋_GB2312" w:hAnsi="仿宋" w:eastAsia="仿宋_GB2312"/>
          <w:sz w:val="32"/>
          <w:szCs w:val="32"/>
        </w:rPr>
        <w:t>%）成为全市主要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交易类别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5BCE72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85725</wp:posOffset>
            </wp:positionV>
            <wp:extent cx="2505075" cy="2590800"/>
            <wp:effectExtent l="4445" t="4445" r="5080" b="8255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76200</wp:posOffset>
            </wp:positionV>
            <wp:extent cx="2390775" cy="2600325"/>
            <wp:effectExtent l="4445" t="4445" r="5080" b="11430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350"/>
        <w:gridCol w:w="1611"/>
        <w:gridCol w:w="1440"/>
        <w:gridCol w:w="1239"/>
        <w:gridCol w:w="1433"/>
      </w:tblGrid>
      <w:tr w14:paraId="6DA4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7" w:type="pct"/>
            <w:vAlign w:val="center"/>
          </w:tcPr>
          <w:p w14:paraId="14B4DB8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bookmarkStart w:id="1" w:name="_Toc72240301"/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792" w:type="pct"/>
            <w:vAlign w:val="center"/>
          </w:tcPr>
          <w:p w14:paraId="35A13D8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建设工程</w:t>
            </w:r>
          </w:p>
        </w:tc>
        <w:tc>
          <w:tcPr>
            <w:tcW w:w="945" w:type="pct"/>
            <w:vAlign w:val="center"/>
          </w:tcPr>
          <w:p w14:paraId="00A7821C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政府集中采购</w:t>
            </w:r>
          </w:p>
        </w:tc>
        <w:tc>
          <w:tcPr>
            <w:tcW w:w="845" w:type="pct"/>
            <w:vAlign w:val="center"/>
          </w:tcPr>
          <w:p w14:paraId="78D5272D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土地使用权</w:t>
            </w:r>
          </w:p>
        </w:tc>
        <w:tc>
          <w:tcPr>
            <w:tcW w:w="727" w:type="pct"/>
            <w:vAlign w:val="center"/>
          </w:tcPr>
          <w:p w14:paraId="069C20C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国有产权</w:t>
            </w:r>
          </w:p>
        </w:tc>
        <w:tc>
          <w:tcPr>
            <w:tcW w:w="841" w:type="pct"/>
            <w:vAlign w:val="center"/>
          </w:tcPr>
          <w:p w14:paraId="7847199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其他交易</w:t>
            </w:r>
          </w:p>
        </w:tc>
      </w:tr>
      <w:tr w14:paraId="14D8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7" w:type="pct"/>
            <w:vAlign w:val="center"/>
          </w:tcPr>
          <w:p w14:paraId="7718F12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61A4AC1C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497</w:t>
            </w:r>
          </w:p>
        </w:tc>
        <w:tc>
          <w:tcPr>
            <w:tcW w:w="945" w:type="pct"/>
            <w:vAlign w:val="center"/>
          </w:tcPr>
          <w:p w14:paraId="2F3BBC0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216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11A2D2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42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BE05DBE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190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9286FC6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38</w:t>
            </w:r>
          </w:p>
        </w:tc>
      </w:tr>
      <w:tr w14:paraId="7B6E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7" w:type="pct"/>
            <w:vAlign w:val="center"/>
          </w:tcPr>
          <w:p w14:paraId="0A0C545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792" w:type="pct"/>
            <w:vAlign w:val="center"/>
          </w:tcPr>
          <w:p w14:paraId="2FDC948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128.76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730E0B90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7.04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19B01E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19.88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A3785C9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7.52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C3C746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24.6</w:t>
            </w:r>
          </w:p>
        </w:tc>
      </w:tr>
    </w:tbl>
    <w:p w14:paraId="054D1FA3">
      <w:pPr>
        <w:widowControl/>
        <w:rPr>
          <w:rFonts w:ascii="仿宋" w:hAnsi="仿宋" w:eastAsia="仿宋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二、分类交易情况</w:t>
      </w:r>
      <w:bookmarkEnd w:id="1"/>
    </w:p>
    <w:p w14:paraId="1AA4BAEF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（一）工程建设项目。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2024全年全</w:t>
      </w:r>
      <w:r>
        <w:rPr>
          <w:rFonts w:hint="eastAsia" w:ascii="仿宋_GB2312" w:hAnsi="仿宋" w:eastAsia="仿宋_GB2312"/>
          <w:sz w:val="32"/>
          <w:szCs w:val="32"/>
        </w:rPr>
        <w:t>市累计完成工程建设项目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497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上升2.4</w:t>
      </w:r>
      <w:r>
        <w:rPr>
          <w:rFonts w:hint="eastAsia" w:ascii="仿宋_GB2312" w:hAnsi="仿宋" w:eastAsia="仿宋_GB2312"/>
          <w:sz w:val="32"/>
          <w:szCs w:val="32"/>
        </w:rPr>
        <w:t>%；交易金额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128.76亿元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下降10.3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4037499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67250" cy="2867025"/>
            <wp:effectExtent l="4445" t="5080" r="6985" b="825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46DC9D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1.在类别分布上，房建、市政项目在工程建设项目中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高于其它</w:t>
      </w:r>
      <w:r>
        <w:rPr>
          <w:rFonts w:hint="eastAsia" w:ascii="仿宋_GB2312" w:hAnsi="仿宋" w:eastAsia="仿宋_GB2312"/>
          <w:sz w:val="32"/>
          <w:szCs w:val="32"/>
        </w:rPr>
        <w:t>类别。</w:t>
      </w:r>
    </w:p>
    <w:p w14:paraId="4EE37DE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63500</wp:posOffset>
            </wp:positionV>
            <wp:extent cx="2530475" cy="2500630"/>
            <wp:effectExtent l="4445" t="4445" r="5080" b="9525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57150</wp:posOffset>
            </wp:positionV>
            <wp:extent cx="2677795" cy="2537460"/>
            <wp:effectExtent l="4445" t="4445" r="10160" b="10795"/>
            <wp:wrapSquare wrapText="bothSides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tbl>
      <w:tblPr>
        <w:tblStyle w:val="9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456"/>
        <w:gridCol w:w="1599"/>
        <w:gridCol w:w="1732"/>
        <w:gridCol w:w="2008"/>
        <w:gridCol w:w="2008"/>
      </w:tblGrid>
      <w:tr w14:paraId="777B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453039E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1456" w:type="dxa"/>
            <w:vAlign w:val="top"/>
          </w:tcPr>
          <w:p w14:paraId="6263829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房  建</w:t>
            </w:r>
          </w:p>
        </w:tc>
        <w:tc>
          <w:tcPr>
            <w:tcW w:w="1599" w:type="dxa"/>
            <w:vAlign w:val="top"/>
          </w:tcPr>
          <w:p w14:paraId="79A2FE3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  政</w:t>
            </w:r>
          </w:p>
        </w:tc>
        <w:tc>
          <w:tcPr>
            <w:tcW w:w="1732" w:type="dxa"/>
            <w:vAlign w:val="top"/>
          </w:tcPr>
          <w:p w14:paraId="1C3ADC5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交通工程</w:t>
            </w:r>
          </w:p>
        </w:tc>
        <w:tc>
          <w:tcPr>
            <w:tcW w:w="2008" w:type="dxa"/>
            <w:vAlign w:val="top"/>
          </w:tcPr>
          <w:p w14:paraId="27D7263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水利</w:t>
            </w:r>
          </w:p>
        </w:tc>
        <w:tc>
          <w:tcPr>
            <w:tcW w:w="2008" w:type="dxa"/>
            <w:vAlign w:val="top"/>
          </w:tcPr>
          <w:p w14:paraId="58FFA51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其他</w:t>
            </w:r>
          </w:p>
        </w:tc>
      </w:tr>
      <w:tr w14:paraId="4F86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037A589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FEED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BD2E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C1E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9C64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05F6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462E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7AC62F7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F3EA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31.87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5B5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49.18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D07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14.74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7303A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10.46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E42E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22.48</w:t>
            </w:r>
          </w:p>
        </w:tc>
      </w:tr>
    </w:tbl>
    <w:p w14:paraId="2C2993E8">
      <w:pPr>
        <w:rPr>
          <w:rFonts w:ascii="仿宋" w:hAnsi="仿宋" w:eastAsia="仿宋"/>
          <w:sz w:val="32"/>
          <w:szCs w:val="32"/>
        </w:rPr>
      </w:pPr>
    </w:p>
    <w:p w14:paraId="3A597D08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2.在区域分布上，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市本级</w:t>
      </w:r>
      <w:r>
        <w:rPr>
          <w:rFonts w:hint="eastAsia" w:ascii="仿宋_GB2312" w:hAnsi="仿宋" w:eastAsia="仿宋_GB2312"/>
          <w:sz w:val="32"/>
          <w:szCs w:val="32"/>
        </w:rPr>
        <w:t>以交易项目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298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" w:eastAsia="仿宋_GB2312"/>
          <w:sz w:val="32"/>
          <w:szCs w:val="32"/>
        </w:rPr>
        <w:t>%）高居于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本市</w:t>
      </w:r>
      <w:r>
        <w:rPr>
          <w:rFonts w:hint="eastAsia" w:ascii="仿宋_GB2312" w:hAnsi="仿宋" w:eastAsia="仿宋_GB2312"/>
          <w:sz w:val="32"/>
          <w:szCs w:val="32"/>
        </w:rPr>
        <w:t>其他区域，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同时以</w:t>
      </w:r>
      <w:r>
        <w:rPr>
          <w:rFonts w:hint="eastAsia" w:ascii="仿宋_GB2312" w:hAnsi="仿宋" w:eastAsia="仿宋_GB2312"/>
          <w:sz w:val="32"/>
          <w:szCs w:val="32"/>
        </w:rPr>
        <w:t>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76.44亿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59.38</w:t>
      </w:r>
      <w:r>
        <w:rPr>
          <w:rFonts w:hint="eastAsia" w:ascii="仿宋_GB2312" w:hAnsi="仿宋" w:eastAsia="仿宋_GB2312"/>
          <w:sz w:val="32"/>
          <w:szCs w:val="32"/>
        </w:rPr>
        <w:t>%）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全市工程建设项目中成交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名。</w:t>
      </w:r>
    </w:p>
    <w:p w14:paraId="289A173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drawing>
          <wp:inline distT="0" distB="0" distL="0" distR="0">
            <wp:extent cx="4523105" cy="3079115"/>
            <wp:effectExtent l="4445" t="4445" r="6350" b="1524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58FDB8">
      <w:pPr>
        <w:ind w:left="14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447540" cy="2845435"/>
            <wp:effectExtent l="4445" t="4445" r="5715" b="762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21517D">
      <w:pPr>
        <w:ind w:left="142"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779"/>
        <w:gridCol w:w="2123"/>
        <w:gridCol w:w="2277"/>
      </w:tblGrid>
      <w:tr w14:paraId="7D95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73" w:type="pct"/>
            <w:vAlign w:val="center"/>
          </w:tcPr>
          <w:p w14:paraId="34C80E2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区  域</w:t>
            </w:r>
          </w:p>
        </w:tc>
        <w:tc>
          <w:tcPr>
            <w:tcW w:w="1044" w:type="pct"/>
          </w:tcPr>
          <w:p w14:paraId="2F72A9E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61398F5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市本级</w:t>
            </w:r>
          </w:p>
        </w:tc>
        <w:tc>
          <w:tcPr>
            <w:tcW w:w="1246" w:type="pct"/>
          </w:tcPr>
          <w:p w14:paraId="0A6ACA8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4B947FD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  <w:tc>
          <w:tcPr>
            <w:tcW w:w="1336" w:type="pct"/>
          </w:tcPr>
          <w:p w14:paraId="4285D9A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18F112F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  县</w:t>
            </w:r>
          </w:p>
        </w:tc>
      </w:tr>
      <w:tr w14:paraId="4443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73" w:type="pct"/>
            <w:vAlign w:val="center"/>
          </w:tcPr>
          <w:p w14:paraId="22930D1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项目数(宗)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2AA3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AD1C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B8AB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12FC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373" w:type="pct"/>
            <w:vAlign w:val="center"/>
          </w:tcPr>
          <w:p w14:paraId="4A68F4D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金额（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亿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元）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C794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76.44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5402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33.15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48BB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19.16</w:t>
            </w:r>
          </w:p>
        </w:tc>
      </w:tr>
    </w:tbl>
    <w:p w14:paraId="41F8B89C">
      <w:pPr>
        <w:ind w:firstLine="640" w:firstLineChars="200"/>
        <w:rPr>
          <w:rFonts w:ascii="仿宋_GB2312" w:hAnsi="仿宋" w:eastAsia="仿宋_GB2312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3．在重大项目交易上，全市累计完成总投资额5000万元以上的重大项目（含分标段交易）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宗，占比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11.47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%；交易金额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103.07亿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元，占比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80.07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%，重大项目集中在房屋建筑和市政工程。</w:t>
      </w:r>
    </w:p>
    <w:p w14:paraId="316FACAB">
      <w:pPr>
        <w:spacing w:line="360" w:lineRule="auto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（二）政府集中采购项目。</w:t>
      </w:r>
      <w:r>
        <w:rPr>
          <w:rFonts w:hint="eastAsia" w:ascii="仿宋_GB2312" w:hAnsi="仿宋" w:eastAsia="仿宋_GB2312"/>
          <w:sz w:val="32"/>
          <w:szCs w:val="32"/>
        </w:rPr>
        <w:t>全市共完成政府集中采购项目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216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下降2.26%</w:t>
      </w:r>
      <w:r>
        <w:rPr>
          <w:rFonts w:hint="eastAsia" w:ascii="仿宋_GB2312" w:hAnsi="仿宋" w:eastAsia="仿宋_GB2312"/>
          <w:sz w:val="32"/>
          <w:szCs w:val="32"/>
        </w:rPr>
        <w:t>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7.04亿</w:t>
      </w:r>
      <w:r>
        <w:rPr>
          <w:rFonts w:hint="eastAsia" w:ascii="仿宋_GB2312" w:hAnsi="仿宋" w:eastAsia="仿宋_GB2312"/>
          <w:sz w:val="32"/>
          <w:szCs w:val="32"/>
        </w:rPr>
        <w:t>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下降37.25</w:t>
      </w:r>
      <w:r>
        <w:rPr>
          <w:rFonts w:hint="eastAsia" w:ascii="仿宋_GB2312" w:hAnsi="仿宋" w:eastAsia="仿宋_GB2312"/>
          <w:sz w:val="32"/>
          <w:szCs w:val="32"/>
        </w:rPr>
        <w:t>%.</w:t>
      </w:r>
    </w:p>
    <w:p w14:paraId="608D3DE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46518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1．在采购方式分布上，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竞争性磋商</w:t>
      </w:r>
      <w:r>
        <w:rPr>
          <w:rFonts w:hint="eastAsia" w:ascii="仿宋_GB2312" w:hAnsi="仿宋" w:eastAsia="仿宋_GB2312"/>
          <w:sz w:val="32"/>
          <w:szCs w:val="32"/>
        </w:rPr>
        <w:t>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成交64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成为交易数量第一，成交价为1.2亿元；公开招标以4.96亿元成为成交价第一名，成交数量为56宗；竞争性谈判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，成交价0.65亿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询价成交24宗，成价0.11亿元；单一来源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10宗</w:t>
      </w:r>
      <w:r>
        <w:rPr>
          <w:rFonts w:hint="eastAsia" w:ascii="仿宋_GB2312" w:hAnsi="仿宋" w:eastAsia="仿宋_GB2312"/>
          <w:sz w:val="32"/>
          <w:szCs w:val="32"/>
        </w:rPr>
        <w:t>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为0.11亿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256"/>
        <w:gridCol w:w="1502"/>
        <w:gridCol w:w="1502"/>
        <w:gridCol w:w="1256"/>
        <w:gridCol w:w="1257"/>
      </w:tblGrid>
      <w:tr w14:paraId="5995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4" w:type="pct"/>
            <w:vAlign w:val="top"/>
          </w:tcPr>
          <w:p w14:paraId="449C09FA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交易类型</w:t>
            </w:r>
          </w:p>
        </w:tc>
        <w:tc>
          <w:tcPr>
            <w:tcW w:w="737" w:type="pct"/>
            <w:vAlign w:val="top"/>
          </w:tcPr>
          <w:p w14:paraId="76B51BE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公开招标</w:t>
            </w:r>
          </w:p>
        </w:tc>
        <w:tc>
          <w:tcPr>
            <w:tcW w:w="881" w:type="pct"/>
            <w:vAlign w:val="top"/>
          </w:tcPr>
          <w:p w14:paraId="146A799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竞争性磋商</w:t>
            </w:r>
          </w:p>
        </w:tc>
        <w:tc>
          <w:tcPr>
            <w:tcW w:w="881" w:type="pct"/>
            <w:vAlign w:val="top"/>
          </w:tcPr>
          <w:p w14:paraId="11D181E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竞争性谈判</w:t>
            </w:r>
          </w:p>
        </w:tc>
        <w:tc>
          <w:tcPr>
            <w:tcW w:w="737" w:type="pct"/>
            <w:vAlign w:val="top"/>
          </w:tcPr>
          <w:p w14:paraId="428405A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询价</w:t>
            </w:r>
          </w:p>
        </w:tc>
        <w:tc>
          <w:tcPr>
            <w:tcW w:w="737" w:type="pct"/>
            <w:vAlign w:val="top"/>
          </w:tcPr>
          <w:p w14:paraId="7EB27F21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单一来源</w:t>
            </w:r>
          </w:p>
        </w:tc>
      </w:tr>
      <w:tr w14:paraId="0D3F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24" w:type="pct"/>
            <w:vAlign w:val="top"/>
          </w:tcPr>
          <w:p w14:paraId="4A0D85A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256" w:type="dxa"/>
            <w:vAlign w:val="center"/>
          </w:tcPr>
          <w:p w14:paraId="48EB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ED1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52C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B07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C4B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CAD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24" w:type="pct"/>
            <w:vAlign w:val="top"/>
          </w:tcPr>
          <w:p w14:paraId="3C10B01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256" w:type="dxa"/>
            <w:vAlign w:val="center"/>
          </w:tcPr>
          <w:p w14:paraId="6EEA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5F7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287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C61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BDA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</w:tr>
    </w:tbl>
    <w:p w14:paraId="61FEB215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B951AF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0795" b="10795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CD2F0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07AA4D5">
      <w:pPr>
        <w:numPr>
          <w:ilvl w:val="0"/>
          <w:numId w:val="1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在行政区域分布上，市本级（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含驻市</w:t>
      </w:r>
      <w:r>
        <w:rPr>
          <w:rFonts w:hint="eastAsia" w:ascii="仿宋_GB2312" w:hAnsi="仿宋" w:eastAsia="仿宋_GB2312"/>
          <w:sz w:val="32"/>
          <w:szCs w:val="32"/>
        </w:rPr>
        <w:t>省级预算单位）成</w:t>
      </w:r>
      <w:bookmarkStart w:id="2" w:name="_Hlk74921107"/>
      <w:r>
        <w:rPr>
          <w:rFonts w:hint="eastAsia" w:ascii="仿宋_GB2312" w:hAnsi="仿宋" w:eastAsia="仿宋_GB2312"/>
          <w:sz w:val="32"/>
          <w:szCs w:val="32"/>
        </w:rPr>
        <w:t>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144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6.24亿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2"/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项目数、成交金额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名；</w:t>
      </w:r>
      <w:bookmarkStart w:id="3" w:name="_Hlk74920865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自流井区成交3宗，成交价0.04亿元；贡井区成交15宗，成交价为0.16亿元；沿滩区成交10宗，成交价为0.12亿元；大安</w:t>
      </w:r>
      <w:r>
        <w:rPr>
          <w:rFonts w:hint="eastAsia" w:ascii="仿宋_GB2312" w:hAnsi="仿宋" w:eastAsia="仿宋_GB2312"/>
          <w:sz w:val="32"/>
          <w:szCs w:val="32"/>
        </w:rPr>
        <w:t>区成交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0.17亿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3"/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富顺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成交8宗，成交价0.08亿元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荣县成交26宗，成交价0.24亿元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B8A1225">
      <w:pPr>
        <w:numPr>
          <w:ilvl w:val="0"/>
          <w:numId w:val="0"/>
        </w:numPr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963"/>
        <w:gridCol w:w="1067"/>
        <w:gridCol w:w="870"/>
        <w:gridCol w:w="866"/>
        <w:gridCol w:w="965"/>
        <w:gridCol w:w="1061"/>
        <w:gridCol w:w="1061"/>
      </w:tblGrid>
      <w:tr w14:paraId="406E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6" w:type="pct"/>
            <w:vAlign w:val="center"/>
          </w:tcPr>
          <w:p w14:paraId="194233A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  域</w:t>
            </w:r>
          </w:p>
        </w:tc>
        <w:tc>
          <w:tcPr>
            <w:tcW w:w="565" w:type="pct"/>
            <w:vAlign w:val="center"/>
          </w:tcPr>
          <w:p w14:paraId="3E4C293A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市本级</w:t>
            </w:r>
          </w:p>
        </w:tc>
        <w:tc>
          <w:tcPr>
            <w:tcW w:w="626" w:type="pct"/>
            <w:vAlign w:val="center"/>
          </w:tcPr>
          <w:p w14:paraId="611ECFE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自流井区</w:t>
            </w:r>
          </w:p>
        </w:tc>
        <w:tc>
          <w:tcPr>
            <w:tcW w:w="510" w:type="pct"/>
            <w:vAlign w:val="center"/>
          </w:tcPr>
          <w:p w14:paraId="664FABE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贡井区</w:t>
            </w:r>
          </w:p>
        </w:tc>
        <w:tc>
          <w:tcPr>
            <w:tcW w:w="508" w:type="pct"/>
            <w:vAlign w:val="center"/>
          </w:tcPr>
          <w:p w14:paraId="1EADFBB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沿滩区</w:t>
            </w:r>
          </w:p>
        </w:tc>
        <w:tc>
          <w:tcPr>
            <w:tcW w:w="566" w:type="pct"/>
            <w:vAlign w:val="center"/>
          </w:tcPr>
          <w:p w14:paraId="629C5E7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大安区</w:t>
            </w:r>
          </w:p>
        </w:tc>
        <w:tc>
          <w:tcPr>
            <w:tcW w:w="622" w:type="pct"/>
            <w:vAlign w:val="center"/>
          </w:tcPr>
          <w:p w14:paraId="5F0B556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  <w:tc>
          <w:tcPr>
            <w:tcW w:w="622" w:type="pct"/>
            <w:vAlign w:val="center"/>
          </w:tcPr>
          <w:p w14:paraId="12A6455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  县</w:t>
            </w:r>
          </w:p>
        </w:tc>
      </w:tr>
      <w:tr w14:paraId="57FB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6" w:type="pct"/>
            <w:vAlign w:val="center"/>
          </w:tcPr>
          <w:p w14:paraId="00042D6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项目数(宗)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5AC7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5F99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551A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F86C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vAlign w:val="center"/>
          </w:tcPr>
          <w:p w14:paraId="1EADD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6958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F333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5682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6" w:type="pct"/>
            <w:vAlign w:val="center"/>
          </w:tcPr>
          <w:p w14:paraId="4341574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021B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CBA9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E8CB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4918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456F2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C2F7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876A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</w:tr>
    </w:tbl>
    <w:p w14:paraId="5001173B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204F66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30" name="图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96514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32" name="图表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637809E">
      <w:pPr>
        <w:widowControl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（三）土地使用权出让。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" w:eastAsia="仿宋_GB2312"/>
          <w:sz w:val="32"/>
          <w:szCs w:val="32"/>
        </w:rPr>
        <w:t>共完成土地使用权出让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42</w:t>
      </w:r>
    </w:p>
    <w:p w14:paraId="210D5CC9">
      <w:pPr>
        <w:widowControl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下降40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成交金额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19.88亿元，同比下降51.33%；溢价金额1.98亿元，同比下降42.61%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463CB41">
      <w:pPr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48300" cy="2863850"/>
            <wp:effectExtent l="4445" t="4445" r="8255" b="14605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5E17096">
      <w:pPr>
        <w:numPr>
          <w:ilvl w:val="0"/>
          <w:numId w:val="0"/>
        </w:numPr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/>
          <w:b/>
          <w:sz w:val="32"/>
          <w:szCs w:val="32"/>
        </w:rPr>
        <w:t>国有产权。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" w:eastAsia="仿宋_GB2312"/>
          <w:sz w:val="32"/>
          <w:szCs w:val="32"/>
        </w:rPr>
        <w:t>产权类项目入场交易累计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190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同比上升52%</w:t>
      </w:r>
      <w:r>
        <w:rPr>
          <w:rFonts w:hint="eastAsia" w:ascii="仿宋_GB2312" w:hAnsi="仿宋" w:eastAsia="仿宋_GB2312"/>
          <w:sz w:val="32"/>
          <w:szCs w:val="32"/>
        </w:rPr>
        <w:t>；其中市本级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159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;富顺县31宗</w:t>
      </w:r>
      <w:r>
        <w:rPr>
          <w:rFonts w:hint="eastAsia" w:ascii="仿宋_GB2312" w:hAnsi="仿宋" w:eastAsia="仿宋_GB2312"/>
          <w:sz w:val="32"/>
          <w:szCs w:val="32"/>
        </w:rPr>
        <w:t>。项目交易额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7.52亿元，溢价0.07亿元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80EFEC6"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260975" cy="3493770"/>
            <wp:effectExtent l="4445" t="4445" r="5080" b="6985"/>
            <wp:docPr id="25" name="图表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645D6C0">
      <w:pPr>
        <w:numPr>
          <w:ilvl w:val="0"/>
          <w:numId w:val="2"/>
        </w:numPr>
        <w:ind w:firstLine="643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其他交易。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全市全年其他类交易项目入场交易累计38宗，同比上升26.67%。成交金额共计24.6亿元，同比上升412.5%；累计节约0.02亿元。</w:t>
      </w:r>
    </w:p>
    <w:p w14:paraId="6D45AA09">
      <w:pPr>
        <w:numPr>
          <w:ilvl w:val="0"/>
          <w:numId w:val="0"/>
        </w:numPr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260975" cy="3493770"/>
            <wp:effectExtent l="4445" t="4445" r="5080" b="698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E894E"/>
    <w:multiLevelType w:val="singleLevel"/>
    <w:tmpl w:val="9CBE894E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D754F762"/>
    <w:multiLevelType w:val="singleLevel"/>
    <w:tmpl w:val="D754F762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NTc5MWM3MmE0MmFiZGEwMzExMmI4ZTkxOTBiNjEifQ=="/>
  </w:docVars>
  <w:rsids>
    <w:rsidRoot w:val="001A4768"/>
    <w:rsid w:val="00010453"/>
    <w:rsid w:val="0001550F"/>
    <w:rsid w:val="0004214C"/>
    <w:rsid w:val="000475CA"/>
    <w:rsid w:val="000544C5"/>
    <w:rsid w:val="000A18B6"/>
    <w:rsid w:val="000B4D92"/>
    <w:rsid w:val="0012422D"/>
    <w:rsid w:val="00140DEC"/>
    <w:rsid w:val="001539A0"/>
    <w:rsid w:val="0019228D"/>
    <w:rsid w:val="001A4768"/>
    <w:rsid w:val="001C2C9C"/>
    <w:rsid w:val="001E4428"/>
    <w:rsid w:val="001F0C2B"/>
    <w:rsid w:val="00241098"/>
    <w:rsid w:val="00262B5D"/>
    <w:rsid w:val="00270F60"/>
    <w:rsid w:val="0029288E"/>
    <w:rsid w:val="002A299B"/>
    <w:rsid w:val="002C38EF"/>
    <w:rsid w:val="002D1A47"/>
    <w:rsid w:val="002E1F3A"/>
    <w:rsid w:val="002E60BE"/>
    <w:rsid w:val="003A0A19"/>
    <w:rsid w:val="003A2DAC"/>
    <w:rsid w:val="003C3288"/>
    <w:rsid w:val="003E0713"/>
    <w:rsid w:val="00402D3A"/>
    <w:rsid w:val="00432844"/>
    <w:rsid w:val="0048780C"/>
    <w:rsid w:val="00490329"/>
    <w:rsid w:val="00506725"/>
    <w:rsid w:val="00527E2A"/>
    <w:rsid w:val="005319D6"/>
    <w:rsid w:val="00542C0F"/>
    <w:rsid w:val="005763BD"/>
    <w:rsid w:val="005908FF"/>
    <w:rsid w:val="00601E82"/>
    <w:rsid w:val="00610B55"/>
    <w:rsid w:val="00643E35"/>
    <w:rsid w:val="00662E0D"/>
    <w:rsid w:val="00671935"/>
    <w:rsid w:val="00680DD1"/>
    <w:rsid w:val="006844F0"/>
    <w:rsid w:val="00693874"/>
    <w:rsid w:val="006B16AE"/>
    <w:rsid w:val="006D08B2"/>
    <w:rsid w:val="006E554A"/>
    <w:rsid w:val="007007DA"/>
    <w:rsid w:val="00700DE6"/>
    <w:rsid w:val="007341D9"/>
    <w:rsid w:val="007573FB"/>
    <w:rsid w:val="007653CE"/>
    <w:rsid w:val="007A49CA"/>
    <w:rsid w:val="007D37E2"/>
    <w:rsid w:val="00816F4C"/>
    <w:rsid w:val="00823A68"/>
    <w:rsid w:val="00864B5F"/>
    <w:rsid w:val="008767D0"/>
    <w:rsid w:val="008C4D3E"/>
    <w:rsid w:val="008F1E37"/>
    <w:rsid w:val="0093351E"/>
    <w:rsid w:val="00950240"/>
    <w:rsid w:val="00985434"/>
    <w:rsid w:val="009A7C00"/>
    <w:rsid w:val="009B5350"/>
    <w:rsid w:val="009C3644"/>
    <w:rsid w:val="00A23CFF"/>
    <w:rsid w:val="00A2510A"/>
    <w:rsid w:val="00A500B8"/>
    <w:rsid w:val="00A543DF"/>
    <w:rsid w:val="00AB4CA3"/>
    <w:rsid w:val="00AC1F43"/>
    <w:rsid w:val="00AE4D79"/>
    <w:rsid w:val="00AF173E"/>
    <w:rsid w:val="00B06593"/>
    <w:rsid w:val="00B31103"/>
    <w:rsid w:val="00B96CAC"/>
    <w:rsid w:val="00BF2311"/>
    <w:rsid w:val="00C02D29"/>
    <w:rsid w:val="00C34E75"/>
    <w:rsid w:val="00C40B13"/>
    <w:rsid w:val="00C53CB6"/>
    <w:rsid w:val="00C565F4"/>
    <w:rsid w:val="00C61B70"/>
    <w:rsid w:val="00C61FC5"/>
    <w:rsid w:val="00C62B0C"/>
    <w:rsid w:val="00C63376"/>
    <w:rsid w:val="00C97A94"/>
    <w:rsid w:val="00CA6C1D"/>
    <w:rsid w:val="00CF2441"/>
    <w:rsid w:val="00CF4B20"/>
    <w:rsid w:val="00D101D2"/>
    <w:rsid w:val="00D15253"/>
    <w:rsid w:val="00D4586C"/>
    <w:rsid w:val="00D64AE1"/>
    <w:rsid w:val="00DB416A"/>
    <w:rsid w:val="00E22E9D"/>
    <w:rsid w:val="00E474A2"/>
    <w:rsid w:val="00E65BF2"/>
    <w:rsid w:val="00E727A3"/>
    <w:rsid w:val="00EE5EA6"/>
    <w:rsid w:val="00F20869"/>
    <w:rsid w:val="00F34AF6"/>
    <w:rsid w:val="00F40C6A"/>
    <w:rsid w:val="00F419B3"/>
    <w:rsid w:val="00F43111"/>
    <w:rsid w:val="00F62AE4"/>
    <w:rsid w:val="00F83873"/>
    <w:rsid w:val="00F97FDE"/>
    <w:rsid w:val="00FB52EE"/>
    <w:rsid w:val="00FC5BEC"/>
    <w:rsid w:val="00FD03FE"/>
    <w:rsid w:val="010D7A83"/>
    <w:rsid w:val="012B5AAA"/>
    <w:rsid w:val="01C42B8B"/>
    <w:rsid w:val="0243433D"/>
    <w:rsid w:val="0275224B"/>
    <w:rsid w:val="030959A0"/>
    <w:rsid w:val="03B07824"/>
    <w:rsid w:val="03B95D83"/>
    <w:rsid w:val="04EE7F1F"/>
    <w:rsid w:val="05E8390D"/>
    <w:rsid w:val="06B10496"/>
    <w:rsid w:val="06BA67A6"/>
    <w:rsid w:val="06CB322B"/>
    <w:rsid w:val="077C00F5"/>
    <w:rsid w:val="087D3A94"/>
    <w:rsid w:val="095D1920"/>
    <w:rsid w:val="0AFF7B67"/>
    <w:rsid w:val="0C0F534B"/>
    <w:rsid w:val="0C5E598A"/>
    <w:rsid w:val="0CD81BE1"/>
    <w:rsid w:val="0D3037CB"/>
    <w:rsid w:val="0DC0757C"/>
    <w:rsid w:val="0DC56929"/>
    <w:rsid w:val="0DCB1AE6"/>
    <w:rsid w:val="0E771481"/>
    <w:rsid w:val="0EB46846"/>
    <w:rsid w:val="119526C6"/>
    <w:rsid w:val="11E701D0"/>
    <w:rsid w:val="124473D0"/>
    <w:rsid w:val="12AB1006"/>
    <w:rsid w:val="12CC7AF2"/>
    <w:rsid w:val="12D64D63"/>
    <w:rsid w:val="13730106"/>
    <w:rsid w:val="138E5603"/>
    <w:rsid w:val="13CC1D73"/>
    <w:rsid w:val="140D6614"/>
    <w:rsid w:val="143664D8"/>
    <w:rsid w:val="157D5D43"/>
    <w:rsid w:val="159D092B"/>
    <w:rsid w:val="15BF734A"/>
    <w:rsid w:val="162437A1"/>
    <w:rsid w:val="165006DF"/>
    <w:rsid w:val="16972DA9"/>
    <w:rsid w:val="16C64858"/>
    <w:rsid w:val="16F46E3D"/>
    <w:rsid w:val="175D1BF5"/>
    <w:rsid w:val="176E71E5"/>
    <w:rsid w:val="17F17FFA"/>
    <w:rsid w:val="18456E05"/>
    <w:rsid w:val="195E66AA"/>
    <w:rsid w:val="1AAC0209"/>
    <w:rsid w:val="1AC8208F"/>
    <w:rsid w:val="1B776A68"/>
    <w:rsid w:val="1B9069C1"/>
    <w:rsid w:val="1BDA048E"/>
    <w:rsid w:val="1C03651D"/>
    <w:rsid w:val="1C096F2E"/>
    <w:rsid w:val="1C2D254D"/>
    <w:rsid w:val="1CC006D5"/>
    <w:rsid w:val="1CC90604"/>
    <w:rsid w:val="1D7D71A6"/>
    <w:rsid w:val="1DF2140B"/>
    <w:rsid w:val="1E591BA3"/>
    <w:rsid w:val="1F182311"/>
    <w:rsid w:val="1F6A67BE"/>
    <w:rsid w:val="1F905DD0"/>
    <w:rsid w:val="1FA15E62"/>
    <w:rsid w:val="20903977"/>
    <w:rsid w:val="20A451DB"/>
    <w:rsid w:val="216B3C80"/>
    <w:rsid w:val="2203697F"/>
    <w:rsid w:val="22591B33"/>
    <w:rsid w:val="2292522B"/>
    <w:rsid w:val="229D0C0C"/>
    <w:rsid w:val="22A70880"/>
    <w:rsid w:val="23843155"/>
    <w:rsid w:val="23E944F0"/>
    <w:rsid w:val="244F7A97"/>
    <w:rsid w:val="24A73F1B"/>
    <w:rsid w:val="24B8483B"/>
    <w:rsid w:val="25D70334"/>
    <w:rsid w:val="2708292C"/>
    <w:rsid w:val="27911A4D"/>
    <w:rsid w:val="28197DF3"/>
    <w:rsid w:val="285A3310"/>
    <w:rsid w:val="28A01F9F"/>
    <w:rsid w:val="29096438"/>
    <w:rsid w:val="292C766F"/>
    <w:rsid w:val="29361D11"/>
    <w:rsid w:val="29BD6D49"/>
    <w:rsid w:val="2A566214"/>
    <w:rsid w:val="2B51698E"/>
    <w:rsid w:val="2BC929C8"/>
    <w:rsid w:val="2BC96E6C"/>
    <w:rsid w:val="2C056957"/>
    <w:rsid w:val="2C5C66F6"/>
    <w:rsid w:val="2DAF544A"/>
    <w:rsid w:val="2E0B2A2D"/>
    <w:rsid w:val="2E7F3B7F"/>
    <w:rsid w:val="2E9D3CAF"/>
    <w:rsid w:val="2EF93D6A"/>
    <w:rsid w:val="2F4B1ED6"/>
    <w:rsid w:val="2FE60777"/>
    <w:rsid w:val="2FF3270A"/>
    <w:rsid w:val="302C20AC"/>
    <w:rsid w:val="31A9272A"/>
    <w:rsid w:val="32213220"/>
    <w:rsid w:val="324B4A69"/>
    <w:rsid w:val="33114C55"/>
    <w:rsid w:val="336F654B"/>
    <w:rsid w:val="34204C93"/>
    <w:rsid w:val="34A21B2F"/>
    <w:rsid w:val="357C76A0"/>
    <w:rsid w:val="35BF6BEA"/>
    <w:rsid w:val="35E6061B"/>
    <w:rsid w:val="36C1778B"/>
    <w:rsid w:val="397F6DBC"/>
    <w:rsid w:val="398A630E"/>
    <w:rsid w:val="39EF6808"/>
    <w:rsid w:val="3A130856"/>
    <w:rsid w:val="3A345DF9"/>
    <w:rsid w:val="3A5C534F"/>
    <w:rsid w:val="3B977CBF"/>
    <w:rsid w:val="3C797EB2"/>
    <w:rsid w:val="3CA16B81"/>
    <w:rsid w:val="3CE70FA1"/>
    <w:rsid w:val="3CF1348B"/>
    <w:rsid w:val="3D05582A"/>
    <w:rsid w:val="3DDE462C"/>
    <w:rsid w:val="3EA03A5D"/>
    <w:rsid w:val="3F2A5652"/>
    <w:rsid w:val="3F8D1DF7"/>
    <w:rsid w:val="40976E87"/>
    <w:rsid w:val="40A6100C"/>
    <w:rsid w:val="419B675D"/>
    <w:rsid w:val="41A5308F"/>
    <w:rsid w:val="41DD55EC"/>
    <w:rsid w:val="42D542C2"/>
    <w:rsid w:val="43537473"/>
    <w:rsid w:val="437E4577"/>
    <w:rsid w:val="43BC29BB"/>
    <w:rsid w:val="449B55D0"/>
    <w:rsid w:val="451630CA"/>
    <w:rsid w:val="456F75B7"/>
    <w:rsid w:val="45921F36"/>
    <w:rsid w:val="45FB77C0"/>
    <w:rsid w:val="46031658"/>
    <w:rsid w:val="47195E2A"/>
    <w:rsid w:val="476B2262"/>
    <w:rsid w:val="47B642F1"/>
    <w:rsid w:val="48362E4D"/>
    <w:rsid w:val="49381995"/>
    <w:rsid w:val="494C01F4"/>
    <w:rsid w:val="49711986"/>
    <w:rsid w:val="49F91B62"/>
    <w:rsid w:val="4B904E89"/>
    <w:rsid w:val="4C260DE7"/>
    <w:rsid w:val="4C2F6420"/>
    <w:rsid w:val="4CA20757"/>
    <w:rsid w:val="4CB5339B"/>
    <w:rsid w:val="4CD74010"/>
    <w:rsid w:val="4D913251"/>
    <w:rsid w:val="4DD252B5"/>
    <w:rsid w:val="4E6840EE"/>
    <w:rsid w:val="4E816CDB"/>
    <w:rsid w:val="4EE95E5D"/>
    <w:rsid w:val="4FF27E90"/>
    <w:rsid w:val="50D50306"/>
    <w:rsid w:val="51E657D3"/>
    <w:rsid w:val="52F91536"/>
    <w:rsid w:val="533A3AC2"/>
    <w:rsid w:val="534F6BA6"/>
    <w:rsid w:val="53716D24"/>
    <w:rsid w:val="545A4256"/>
    <w:rsid w:val="547B428B"/>
    <w:rsid w:val="55084428"/>
    <w:rsid w:val="55466588"/>
    <w:rsid w:val="56743063"/>
    <w:rsid w:val="57CC0ADA"/>
    <w:rsid w:val="58790192"/>
    <w:rsid w:val="59D45112"/>
    <w:rsid w:val="5A261275"/>
    <w:rsid w:val="5B8A2054"/>
    <w:rsid w:val="5DE476E4"/>
    <w:rsid w:val="5E1703BA"/>
    <w:rsid w:val="5EB12C47"/>
    <w:rsid w:val="5EB442E0"/>
    <w:rsid w:val="5F2142EE"/>
    <w:rsid w:val="624F6EEF"/>
    <w:rsid w:val="62EE327E"/>
    <w:rsid w:val="630A4AC2"/>
    <w:rsid w:val="641D0D49"/>
    <w:rsid w:val="66641213"/>
    <w:rsid w:val="66DB5200"/>
    <w:rsid w:val="671F0D5B"/>
    <w:rsid w:val="68235A1D"/>
    <w:rsid w:val="68656A71"/>
    <w:rsid w:val="68E1201D"/>
    <w:rsid w:val="68F44821"/>
    <w:rsid w:val="6A303B47"/>
    <w:rsid w:val="6A987F7C"/>
    <w:rsid w:val="6AAE2B18"/>
    <w:rsid w:val="6AF755A5"/>
    <w:rsid w:val="6B737754"/>
    <w:rsid w:val="6BB55589"/>
    <w:rsid w:val="6CB947C1"/>
    <w:rsid w:val="6CBC11B2"/>
    <w:rsid w:val="6D1871B2"/>
    <w:rsid w:val="6D3564FB"/>
    <w:rsid w:val="6D643A97"/>
    <w:rsid w:val="6E964025"/>
    <w:rsid w:val="6F0D3BBF"/>
    <w:rsid w:val="6F3507EB"/>
    <w:rsid w:val="6F3C6A8F"/>
    <w:rsid w:val="6F71097A"/>
    <w:rsid w:val="6F901C8B"/>
    <w:rsid w:val="6FAB1A3E"/>
    <w:rsid w:val="70832F22"/>
    <w:rsid w:val="721F290F"/>
    <w:rsid w:val="73A711B1"/>
    <w:rsid w:val="73B777A0"/>
    <w:rsid w:val="73CA22DB"/>
    <w:rsid w:val="74564AC9"/>
    <w:rsid w:val="759A30E2"/>
    <w:rsid w:val="75BE094C"/>
    <w:rsid w:val="76C375E1"/>
    <w:rsid w:val="787053ED"/>
    <w:rsid w:val="78EB4D7D"/>
    <w:rsid w:val="79D8521D"/>
    <w:rsid w:val="7A0643B5"/>
    <w:rsid w:val="7AE00762"/>
    <w:rsid w:val="7B9854E0"/>
    <w:rsid w:val="7D562F5D"/>
    <w:rsid w:val="7D7F24B4"/>
    <w:rsid w:val="7E342E45"/>
    <w:rsid w:val="7ECE3519"/>
    <w:rsid w:val="7EED169F"/>
    <w:rsid w:val="7EF0118F"/>
    <w:rsid w:val="7F546B4E"/>
    <w:rsid w:val="7F852613"/>
    <w:rsid w:val="7F9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autoRedefine/>
    <w:qFormat/>
    <w:uiPriority w:val="20"/>
    <w:rPr>
      <w:b/>
      <w:bCs/>
    </w:rPr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Typewriter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semiHidden/>
    <w:unhideWhenUsed/>
    <w:qFormat/>
    <w:uiPriority w:val="99"/>
  </w:style>
  <w:style w:type="character" w:styleId="17">
    <w:name w:val="HTML Variable"/>
    <w:basedOn w:val="10"/>
    <w:autoRedefine/>
    <w:semiHidden/>
    <w:unhideWhenUsed/>
    <w:qFormat/>
    <w:uiPriority w:val="99"/>
  </w:style>
  <w:style w:type="character" w:styleId="18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autoRedefine/>
    <w:semiHidden/>
    <w:unhideWhenUsed/>
    <w:qFormat/>
    <w:uiPriority w:val="99"/>
  </w:style>
  <w:style w:type="character" w:styleId="21">
    <w:name w:val="HTML Keyboard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autoRedefine/>
    <w:semiHidden/>
    <w:unhideWhenUsed/>
    <w:qFormat/>
    <w:uiPriority w:val="99"/>
    <w:rPr>
      <w:rFonts w:ascii="monospace" w:hAnsi="monospace" w:eastAsia="monospace" w:cs="monospac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26">
    <w:name w:val="标题 1 字符"/>
    <w:basedOn w:val="10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hart" Target="charts/chart16.xml"/><Relationship Id="rId18" Type="http://schemas.openxmlformats.org/officeDocument/2006/relationships/chart" Target="charts/chart15.xml"/><Relationship Id="rId17" Type="http://schemas.openxmlformats.org/officeDocument/2006/relationships/chart" Target="charts/chart14.xml"/><Relationship Id="rId16" Type="http://schemas.openxmlformats.org/officeDocument/2006/relationships/chart" Target="charts/chart13.xml"/><Relationship Id="rId15" Type="http://schemas.openxmlformats.org/officeDocument/2006/relationships/chart" Target="charts/chart12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8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package" Target="../embeddings/Workbook13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package" Target="../embeddings/Workbook14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microsoft.com/office/2011/relationships/chartStyle" Target="style16.xml"/><Relationship Id="rId1" Type="http://schemas.openxmlformats.org/officeDocument/2006/relationships/package" Target="../embeddings/Workbook16.xlsx"/></Relationships>
</file>

<file path=word/charts/_rels/chart16.xml.rels><?xml version="1.0" encoding="UTF-8" standalone="yes"?>
<Relationships xmlns="http://schemas.openxmlformats.org/package/2006/relationships"><Relationship Id="rId4" Type="http://schemas.microsoft.com/office/2011/relationships/chartColorStyle" Target="colors15.xml"/><Relationship Id="rId3" Type="http://schemas.microsoft.com/office/2011/relationships/chartStyle" Target="style15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5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1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10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12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2023</a:t>
            </a:r>
            <a:r>
              <a:rPr lang="zh-CN" altLang="en-US"/>
              <a:t>年与</a:t>
            </a:r>
            <a:r>
              <a:rPr lang="en-US" altLang="zh-CN"/>
              <a:t>2024</a:t>
            </a:r>
            <a:r>
              <a:rPr lang="zh-CN" altLang="en-US"/>
              <a:t>年交易总数对比</a:t>
            </a:r>
            <a:endParaRPr lang="zh-CN" altLang="en-US"/>
          </a:p>
        </c:rich>
      </c:tx>
      <c:layout>
        <c:manualLayout>
          <c:xMode val="edge"/>
          <c:yMode val="edge"/>
          <c:x val="0.27852442951141"/>
          <c:y val="0.039422326307572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934</c:v>
                </c:pt>
                <c:pt idx="1">
                  <c:v>229.03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983</c:v>
                </c:pt>
                <c:pt idx="1" c:formatCode="#,##0.00">
                  <c:v>187.9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7957424"/>
        <c:axId val="1227966128"/>
      </c:barChart>
      <c:catAx>
        <c:axId val="122795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66128"/>
        <c:crosses val="autoZero"/>
        <c:auto val="1"/>
        <c:lblAlgn val="ctr"/>
        <c:lblOffset val="100"/>
        <c:noMultiLvlLbl val="0"/>
      </c:catAx>
      <c:valAx>
        <c:axId val="12279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57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r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6fa8b22-44e3-41d5-b06c-db3c68744b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dist"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2083333333333"/>
          <c:y val="0.163095238095238"/>
          <c:w val="0.812453703703704"/>
          <c:h val="0.6812698412698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56</c:v>
                </c:pt>
                <c:pt idx="1">
                  <c:v>64</c:v>
                </c:pt>
                <c:pt idx="2">
                  <c:v>62</c:v>
                </c:pt>
                <c:pt idx="3">
                  <c:v>24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0720"/>
        <c:axId val="1146491264"/>
      </c:barChart>
      <c:catAx>
        <c:axId val="114649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1264"/>
        <c:crosses val="autoZero"/>
        <c:auto val="1"/>
        <c:lblAlgn val="ctr"/>
        <c:lblOffset val="100"/>
        <c:noMultiLvlLbl val="0"/>
      </c:catAx>
      <c:valAx>
        <c:axId val="114649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0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4a06e03-2495-4dba-9491-a592ab8353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交易额(亿元)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4.96</c:v>
                </c:pt>
                <c:pt idx="1">
                  <c:v>1.2</c:v>
                </c:pt>
                <c:pt idx="2">
                  <c:v>0.65</c:v>
                </c:pt>
                <c:pt idx="3">
                  <c:v>0.11</c:v>
                </c:pt>
                <c:pt idx="4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6704"/>
        <c:axId val="1146519552"/>
      </c:barChart>
      <c:catAx>
        <c:axId val="114649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9552"/>
        <c:crosses val="autoZero"/>
        <c:auto val="1"/>
        <c:lblAlgn val="ctr"/>
        <c:lblOffset val="100"/>
        <c:noMultiLvlLbl val="0"/>
      </c:catAx>
      <c:valAx>
        <c:axId val="114651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6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25e2def-d488-4033-b6e0-74e385affb4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市本级</c:v>
                </c:pt>
                <c:pt idx="1">
                  <c:v>自流井区</c:v>
                </c:pt>
                <c:pt idx="2">
                  <c:v>贡井区</c:v>
                </c:pt>
                <c:pt idx="3">
                  <c:v>沿滩区</c:v>
                </c:pt>
                <c:pt idx="4">
                  <c:v>大安区</c:v>
                </c:pt>
                <c:pt idx="5">
                  <c:v>富顺县</c:v>
                </c:pt>
                <c:pt idx="6">
                  <c:v>荣县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144</c:v>
                </c:pt>
                <c:pt idx="1">
                  <c:v>3</c:v>
                </c:pt>
                <c:pt idx="2">
                  <c:v>15</c:v>
                </c:pt>
                <c:pt idx="3">
                  <c:v>10</c:v>
                </c:pt>
                <c:pt idx="4">
                  <c:v>10</c:v>
                </c:pt>
                <c:pt idx="5">
                  <c:v>8</c:v>
                </c:pt>
                <c:pt idx="6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0096"/>
        <c:axId val="1146492352"/>
      </c:barChart>
      <c:catAx>
        <c:axId val="114652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2352"/>
        <c:crosses val="autoZero"/>
        <c:auto val="1"/>
        <c:lblAlgn val="ctr"/>
        <c:lblOffset val="100"/>
        <c:noMultiLvlLbl val="0"/>
      </c:catAx>
      <c:valAx>
        <c:axId val="114649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0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83962b9-e9c4-46e5-9c0f-04ab648bf4f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交易额(万元)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市本级</c:v>
                </c:pt>
                <c:pt idx="1">
                  <c:v>自流井区</c:v>
                </c:pt>
                <c:pt idx="2">
                  <c:v>贡井区</c:v>
                </c:pt>
                <c:pt idx="3">
                  <c:v>沿滩区</c:v>
                </c:pt>
                <c:pt idx="4">
                  <c:v>大安区</c:v>
                </c:pt>
                <c:pt idx="5">
                  <c:v>富顺县</c:v>
                </c:pt>
                <c:pt idx="6">
                  <c:v>荣县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6.24</c:v>
                </c:pt>
                <c:pt idx="1">
                  <c:v>0.04</c:v>
                </c:pt>
                <c:pt idx="2">
                  <c:v>0.16</c:v>
                </c:pt>
                <c:pt idx="3">
                  <c:v>0.12</c:v>
                </c:pt>
                <c:pt idx="4">
                  <c:v>0.17</c:v>
                </c:pt>
                <c:pt idx="5">
                  <c:v>0.08</c:v>
                </c:pt>
                <c:pt idx="6">
                  <c:v>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1728"/>
        <c:axId val="1146516288"/>
      </c:barChart>
      <c:catAx>
        <c:axId val="114652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6288"/>
        <c:crosses val="autoZero"/>
        <c:auto val="1"/>
        <c:lblAlgn val="ctr"/>
        <c:lblOffset val="100"/>
        <c:noMultiLvlLbl val="0"/>
      </c:catAx>
      <c:valAx>
        <c:axId val="114651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1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cd5d5a8-127e-4dea-b78f-91feeb42483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土地交易</a:t>
            </a:r>
            <a:r>
              <a:rPr lang="en-US" altLang="zh-CN"/>
              <a:t>2023</a:t>
            </a:r>
            <a:r>
              <a:rPr lang="zh-CN" altLang="en-US"/>
              <a:t>年与</a:t>
            </a:r>
            <a:r>
              <a:rPr lang="en-US" altLang="zh-CN"/>
              <a:t>2024</a:t>
            </a: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交易数（宗）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73</c:v>
                </c:pt>
                <c:pt idx="1">
                  <c:v>40.85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交易数（宗）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42</c:v>
                </c:pt>
                <c:pt idx="1">
                  <c:v>19.88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499424"/>
        <c:axId val="1146508128"/>
      </c:barChart>
      <c:catAx>
        <c:axId val="114649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8128"/>
        <c:crosses val="autoZero"/>
        <c:auto val="1"/>
        <c:lblAlgn val="ctr"/>
        <c:lblOffset val="100"/>
        <c:noMultiLvlLbl val="0"/>
      </c:catAx>
      <c:valAx>
        <c:axId val="114650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0979374888895862"/>
          <c:y val="0.136555030621172"/>
          <c:w val="0.210163440725288"/>
          <c:h val="0.15000104986876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1acf76b-2935-4020-82ef-0007ef7b2ff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国有产权</a:t>
            </a:r>
            <a:r>
              <a:rPr lang="en-US" altLang="zh-CN"/>
              <a:t>2023</a:t>
            </a:r>
            <a:r>
              <a:rPr lang="zh-CN" altLang="en-US"/>
              <a:t>年与</a:t>
            </a:r>
            <a:r>
              <a:rPr lang="en-US" altLang="zh-CN"/>
              <a:t>2024</a:t>
            </a:r>
            <a:r>
              <a:rPr lang="zh-CN" altLang="en-US"/>
              <a:t>年对比图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125</c:v>
                </c:pt>
                <c:pt idx="1">
                  <c:v>28.62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190</c:v>
                </c:pt>
                <c:pt idx="1">
                  <c:v>7.52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515744"/>
        <c:axId val="1146509760"/>
      </c:barChart>
      <c:catAx>
        <c:axId val="11465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9760"/>
        <c:crosses val="autoZero"/>
        <c:auto val="1"/>
        <c:lblAlgn val="ctr"/>
        <c:lblOffset val="100"/>
        <c:noMultiLvlLbl val="0"/>
      </c:catAx>
      <c:valAx>
        <c:axId val="114650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57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98874b1-c576-4ffb-bc3c-c73ecd8533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其他类交易</a:t>
            </a:r>
            <a:r>
              <a:rPr lang="en-US" altLang="zh-CN"/>
              <a:t>2023</a:t>
            </a:r>
            <a:r>
              <a:rPr lang="zh-CN" altLang="en-US"/>
              <a:t>年与</a:t>
            </a:r>
            <a:r>
              <a:rPr lang="en-US" altLang="zh-CN"/>
              <a:t>2024</a:t>
            </a:r>
            <a:r>
              <a:rPr lang="zh-CN" altLang="en-US"/>
              <a:t>年对比图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30</c:v>
                </c:pt>
                <c:pt idx="1">
                  <c:v>4.8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38</c:v>
                </c:pt>
                <c:pt idx="1">
                  <c:v>24.6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515744"/>
        <c:axId val="1146509760"/>
      </c:barChart>
      <c:catAx>
        <c:axId val="11465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1146509760"/>
        <c:crosses val="autoZero"/>
        <c:auto val="1"/>
        <c:lblAlgn val="ctr"/>
        <c:lblOffset val="100"/>
        <c:noMultiLvlLbl val="0"/>
      </c:catAx>
      <c:valAx>
        <c:axId val="114650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11465157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98874b1-c576-4ffb-bc3c-c73ecd853334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0131812420785803"/>
                  <c:y val="-0.074019607843137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461312629760054"/>
                  <c:y val="0.0269607843137255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建设工程</c:v>
                </c:pt>
                <c:pt idx="1">
                  <c:v>政府集中采购</c:v>
                </c:pt>
                <c:pt idx="2">
                  <c:v>土地矿权</c:v>
                </c:pt>
                <c:pt idx="3">
                  <c:v>国有产权</c:v>
                </c:pt>
                <c:pt idx="4">
                  <c:v>其他交易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128.76</c:v>
                </c:pt>
                <c:pt idx="1">
                  <c:v>7.04</c:v>
                </c:pt>
                <c:pt idx="2">
                  <c:v>22.57</c:v>
                </c:pt>
                <c:pt idx="3">
                  <c:v>8.6</c:v>
                </c:pt>
                <c:pt idx="4">
                  <c:v>24.6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81098f5-1646-4acd-a030-d82ba3ff7ae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交易项目宗数比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119521912350598"/>
                  <c:y val="0.19242979242979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0440903054448871"/>
                  <c:y val="0.029792429792429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406374501992032"/>
                  <c:y val="0.068376068376068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建设工程</c:v>
                </c:pt>
                <c:pt idx="1">
                  <c:v>政府集中采购</c:v>
                </c:pt>
                <c:pt idx="2">
                  <c:v>土地矿权</c:v>
                </c:pt>
                <c:pt idx="3">
                  <c:v>国有产权</c:v>
                </c:pt>
                <c:pt idx="4">
                  <c:v>其他交易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497</c:v>
                </c:pt>
                <c:pt idx="1">
                  <c:v>216</c:v>
                </c:pt>
                <c:pt idx="2">
                  <c:v>42</c:v>
                </c:pt>
                <c:pt idx="3">
                  <c:v>190</c:v>
                </c:pt>
                <c:pt idx="4">
                  <c:v>38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718a473-2e38-44fc-adec-7c23e3571e4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26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CN" altLang="en-US" sz="1260"/>
              <a:t>建设工程</a:t>
            </a:r>
            <a:r>
              <a:rPr lang="en-US" altLang="zh-CN" sz="1260"/>
              <a:t>2023</a:t>
            </a:r>
            <a:r>
              <a:rPr lang="zh-CN" altLang="en-US" sz="1260"/>
              <a:t>年与</a:t>
            </a:r>
            <a:r>
              <a:rPr lang="en-US" altLang="zh-CN" sz="1260"/>
              <a:t>2024</a:t>
            </a:r>
            <a:r>
              <a:rPr lang="zh-CN" altLang="en-US" sz="1260"/>
              <a:t>年对比图</a:t>
            </a:r>
            <a:endParaRPr lang="zh-CN" altLang="en-US" sz="126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143.533055</c:v>
                </c:pt>
                <c:pt idx="1" c:formatCode="General">
                  <c:v>485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128.7591225</c:v>
                </c:pt>
                <c:pt idx="1">
                  <c:v>497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974288"/>
        <c:axId val="1227975920"/>
      </c:barChart>
      <c:catAx>
        <c:axId val="122797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5920"/>
        <c:crosses val="autoZero"/>
        <c:auto val="1"/>
        <c:lblAlgn val="ctr"/>
        <c:lblOffset val="100"/>
        <c:noMultiLvlLbl val="0"/>
      </c:catAx>
      <c:valAx>
        <c:axId val="122797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845850340136054"/>
          <c:y val="0.0456256921373201"/>
          <c:w val="0.141224489795918"/>
          <c:h val="0.34462901439645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03e0746-64df-465b-8970-16323d9e57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5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交易类别项目分布</a:t>
            </a:r>
          </a:p>
        </c:rich>
      </c:tx>
      <c:layout>
        <c:manualLayout>
          <c:xMode val="edge"/>
          <c:yMode val="edge"/>
          <c:x val="0.169510664993726"/>
          <c:y val="0.0106653123412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0075282308657"/>
          <c:y val="0.239715591670899"/>
          <c:w val="0.62961104140527"/>
          <c:h val="0.63712544438801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"/>
                  <c:y val="0.033773489080751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2308657465496"/>
                      <c:h val="0.198070086338243"/>
                    </c:manualLayout>
                  </c15:layout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0170639899623588"/>
                  <c:y val="0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7038895859473"/>
                      <c:h val="0.13712544438801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05897114178168"/>
                  <c:y val="0.146775012696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64617314930991"/>
                  <c:y val="0.078974098527171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7503136762861"/>
                      <c:h val="0.19807008633824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交通工程</c:v>
                </c:pt>
                <c:pt idx="3">
                  <c:v>水利</c:v>
                </c:pt>
                <c:pt idx="4">
                  <c:v>其他项目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94</c:v>
                </c:pt>
                <c:pt idx="1">
                  <c:v>174</c:v>
                </c:pt>
                <c:pt idx="2">
                  <c:v>53</c:v>
                </c:pt>
                <c:pt idx="3">
                  <c:v>62</c:v>
                </c:pt>
                <c:pt idx="4">
                  <c:v>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6efb6e4-2dc6-4d5b-a58c-869200e901a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交易类别金额比</a:t>
            </a:r>
          </a:p>
        </c:rich>
      </c:tx>
      <c:layout>
        <c:manualLayout>
          <c:xMode val="edge"/>
          <c:yMode val="edge"/>
          <c:x val="0.227703470399533"/>
          <c:y val="0.03319502074688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7832582404553"/>
          <c:y val="0.246746746746747"/>
          <c:w val="0.626037467393882"/>
          <c:h val="0.66066066066066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4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0211050509841119"/>
                  <c:y val="0.016766766766766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交通工程</c:v>
                </c:pt>
                <c:pt idx="3">
                  <c:v>水利</c:v>
                </c:pt>
                <c:pt idx="4">
                  <c:v>其他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31.87</c:v>
                </c:pt>
                <c:pt idx="1">
                  <c:v>49.18</c:v>
                </c:pt>
                <c:pt idx="2">
                  <c:v>14.74</c:v>
                </c:pt>
                <c:pt idx="3">
                  <c:v>10.46</c:v>
                </c:pt>
                <c:pt idx="4">
                  <c:v>22.48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dbc0326-120b-491f-aa93-e078ce2286f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全市建设工程项目区域分布</a:t>
            </a:r>
          </a:p>
        </c:rich>
      </c:tx>
      <c:layout>
        <c:manualLayout>
          <c:xMode val="edge"/>
          <c:yMode val="edge"/>
          <c:x val="0.255289231622967"/>
          <c:y val="0.004124561765312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全市建设工程项目区域分布
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298</c:v>
                </c:pt>
                <c:pt idx="1">
                  <c:v>107</c:v>
                </c:pt>
                <c:pt idx="2">
                  <c:v>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0ed6e73-a4ec-4217-aa80-004f1483dfe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全市建设工程项目区域金额比</a:t>
            </a:r>
          </a:p>
        </c:rich>
      </c:tx>
      <c:layout>
        <c:manualLayout>
          <c:xMode val="edge"/>
          <c:yMode val="edge"/>
          <c:x val="0.240960036899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76.44</c:v>
                </c:pt>
                <c:pt idx="1">
                  <c:v>33.15</c:v>
                </c:pt>
                <c:pt idx="2">
                  <c:v>19.16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818e336-9855-48e8-bb74-0517a0b08e6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6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黑体" panose="02010609060101010101" charset="-122"/>
                <a:ea typeface="黑体" panose="02010609060101010101" charset="-122"/>
                <a:cs typeface="+mn-cs"/>
              </a:rPr>
              <a:t>政府集中采购</a:t>
            </a:r>
            <a:r>
              <a:rPr lang="en-US" b="0">
                <a:latin typeface="黑体" panose="02010609060101010101" charset="-122"/>
                <a:ea typeface="黑体" panose="02010609060101010101" charset="-122"/>
              </a:rPr>
              <a:t>2023</a:t>
            </a: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年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与</a:t>
            </a:r>
            <a:r>
              <a:rPr lang="en-US" altLang="zh-CN" b="0">
                <a:latin typeface="黑体" panose="02010609060101010101" charset="-122"/>
                <a:ea typeface="黑体" panose="02010609060101010101" charset="-122"/>
              </a:rPr>
              <a:t>2024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年</a:t>
            </a: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对比图</a:t>
            </a:r>
            <a:endParaRPr 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221</c:v>
                </c:pt>
                <c:pt idx="1" c:formatCode="#,##0.00">
                  <c:v>11.22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216</c:v>
                </c:pt>
                <c:pt idx="1" c:formatCode="#,##0.00">
                  <c:v>7.04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46502144"/>
        <c:axId val="1146511936"/>
      </c:barChart>
      <c:catAx>
        <c:axId val="1146502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1936"/>
        <c:crosses val="autoZero"/>
        <c:auto val="1"/>
        <c:lblAlgn val="ctr"/>
        <c:lblOffset val="100"/>
        <c:noMultiLvlLbl val="0"/>
      </c:catAx>
      <c:valAx>
        <c:axId val="11465119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e6241da-b14d-45be-bf99-1adf84b8822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</cs:dataPoint>
  <cs:dataPoint3D>
    <cs:lnRef idx="0"/>
    <cs:fillRef idx="1">
      <cs:styleClr val="auto"/>
    </cs:fillRef>
    <cs:effectRef idx="0"/>
    <cs:fontRef idx="minor">
      <a:sysClr val="windowText" lastClr="000000"/>
    </cs:fontRef>
  </cs:dataPoint3D>
  <cs:dataPointLine>
    <cs:lnRef idx="0">
      <cs:styleClr val="auto"/>
    </cs:lnRef>
    <cs:fillRef idx="1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1136</Words>
  <Characters>1465</Characters>
  <Lines>6</Lines>
  <Paragraphs>4</Paragraphs>
  <TotalTime>21</TotalTime>
  <ScaleCrop>false</ScaleCrop>
  <LinksUpToDate>false</LinksUpToDate>
  <CharactersWithSpaces>1482</CharactersWithSpaces>
  <Application>WPS Office_12.1.0.20784_F1E327BC-269C-435d-A152-05C5408002CA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2023-04-14T01:49:00Z</dcterms:created>
  <dc:creator>邓斌</dc:creator>
  <cp:lastModifiedBy>贺文瀚</cp:lastModifiedBy>
  <dcterms:modified xsi:type="dcterms:W3CDTF">2025-04-28T06:17:56Z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9FD2944A3A234BCC893FD8C18AFE0B49_13</vt:lpwstr>
  </property>
  <property fmtid="{D5CDD505-2E9C-101B-9397-08002B2CF9AE}" pid="4" name="KSOTemplateDocerSaveRecord">
    <vt:lpwstr>eyJoZGlkIjoiMjNhNTc5MWM3MmE0MmFiZGEwMzExMmI4ZTkxOTBiNjEiLCJ1c2VySWQiOiIxNjU4NjI5OTUwIn0=</vt:lpwstr>
  </property>
</Properties>
</file>