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olors1.xml" ContentType="application/vnd.ms-office.chartcolorstyle+xml"/>
  <Override PartName="/word/charts/colors10.xml" ContentType="application/vnd.ms-office.chartcolorstyle+xml"/>
  <Override PartName="/word/charts/colors11.xml" ContentType="application/vnd.ms-office.chartcolorstyle+xml"/>
  <Override PartName="/word/charts/colors12.xml" ContentType="application/vnd.ms-office.chartcolorstyle+xml"/>
  <Override PartName="/word/charts/colors13.xml" ContentType="application/vnd.ms-office.chartcolorstyle+xml"/>
  <Override PartName="/word/charts/colors14.xml" ContentType="application/vnd.ms-office.chartcolorstyle+xml"/>
  <Override PartName="/word/charts/colors15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colors8.xml" ContentType="application/vnd.ms-office.chartcolorstyle+xml"/>
  <Override PartName="/word/charts/colors9.xml" ContentType="application/vnd.ms-office.chartcolorstyle+xml"/>
  <Override PartName="/word/charts/style1.xml" ContentType="application/vnd.ms-office.chartstyle+xml"/>
  <Override PartName="/word/charts/style10.xml" ContentType="application/vnd.ms-office.chartstyle+xml"/>
  <Override PartName="/word/charts/style11.xml" ContentType="application/vnd.ms-office.chartstyle+xml"/>
  <Override PartName="/word/charts/style12.xml" ContentType="application/vnd.ms-office.chartstyle+xml"/>
  <Override PartName="/word/charts/style13.xml" ContentType="application/vnd.ms-office.chartstyle+xml"/>
  <Override PartName="/word/charts/style14.xml" ContentType="application/vnd.ms-office.chartstyle+xml"/>
  <Override PartName="/word/charts/style15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charts/style8.xml" ContentType="application/vnd.ms-office.chartstyle+xml"/>
  <Override PartName="/word/charts/style9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微软雅黑" w:eastAsia="方正小标宋简体"/>
          <w:sz w:val="44"/>
          <w:szCs w:val="44"/>
        </w:rPr>
      </w:pPr>
    </w:p>
    <w:p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202</w:t>
      </w: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微软雅黑" w:eastAsia="方正小标宋简体"/>
          <w:sz w:val="44"/>
          <w:szCs w:val="44"/>
        </w:rPr>
        <w:t>年</w:t>
      </w:r>
      <w:r>
        <w:rPr>
          <w:rFonts w:hint="eastAsia" w:ascii="方正小标宋简体" w:hAnsi="微软雅黑" w:eastAsia="方正小标宋简体"/>
          <w:sz w:val="44"/>
          <w:szCs w:val="44"/>
          <w:lang w:eastAsia="zh-CN"/>
        </w:rPr>
        <w:t>第四</w:t>
      </w:r>
      <w:r>
        <w:rPr>
          <w:rFonts w:hint="eastAsia" w:ascii="方正小标宋简体" w:hAnsi="微软雅黑" w:eastAsia="方正小标宋简体"/>
          <w:sz w:val="44"/>
          <w:szCs w:val="44"/>
        </w:rPr>
        <w:t>季度交易数据</w:t>
      </w:r>
    </w:p>
    <w:p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</w:p>
    <w:p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统</w:t>
      </w:r>
    </w:p>
    <w:p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计</w:t>
      </w:r>
    </w:p>
    <w:p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分</w:t>
      </w:r>
    </w:p>
    <w:p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析</w:t>
      </w:r>
    </w:p>
    <w:p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报</w:t>
      </w:r>
    </w:p>
    <w:p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告</w:t>
      </w:r>
    </w:p>
    <w:p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</w:p>
    <w:p>
      <w:pPr>
        <w:widowControl/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自贡市公共资源交易服务中心</w:t>
      </w:r>
    </w:p>
    <w:p>
      <w:pPr>
        <w:widowControl/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202</w:t>
      </w: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微软雅黑" w:eastAsia="方正小标宋简体"/>
          <w:sz w:val="44"/>
          <w:szCs w:val="44"/>
        </w:rPr>
        <w:t>年</w:t>
      </w: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微软雅黑" w:eastAsia="方正小标宋简体"/>
          <w:sz w:val="44"/>
          <w:szCs w:val="44"/>
        </w:rPr>
        <w:t>月</w:t>
      </w:r>
      <w:r>
        <w:rPr>
          <w:rFonts w:ascii="仿宋" w:hAnsi="仿宋" w:eastAsia="仿宋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自贡市公共资源交易服务中心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" w:eastAsia="方正小标宋简体"/>
          <w:sz w:val="44"/>
          <w:szCs w:val="44"/>
        </w:rPr>
        <w:t>年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第四季度</w:t>
      </w:r>
      <w:r>
        <w:rPr>
          <w:rFonts w:hint="eastAsia" w:ascii="方正小标宋简体" w:hAnsi="仿宋" w:eastAsia="方正小标宋简体"/>
          <w:sz w:val="44"/>
          <w:szCs w:val="44"/>
        </w:rPr>
        <w:t>交易数据统计分析报告</w:t>
      </w:r>
      <w:bookmarkStart w:id="0" w:name="_Toc72240300"/>
    </w:p>
    <w:p>
      <w:pPr>
        <w:spacing w:line="560" w:lineRule="exact"/>
        <w:jc w:val="left"/>
        <w:rPr>
          <w:rFonts w:ascii="方正小标宋简体" w:hAnsi="仿宋" w:eastAsia="方正小标宋简体"/>
          <w:sz w:val="44"/>
          <w:szCs w:val="44"/>
        </w:rPr>
      </w:pPr>
      <w:r>
        <w:rPr>
          <w:rFonts w:ascii="黑体" w:hAnsi="黑体" w:eastAsia="黑体"/>
          <w:sz w:val="32"/>
          <w:szCs w:val="32"/>
        </w:rPr>
        <w:t>一</w:t>
      </w:r>
      <w:r>
        <w:rPr>
          <w:rFonts w:hint="eastAsia" w:ascii="黑体" w:hAnsi="黑体" w:eastAsia="黑体"/>
          <w:sz w:val="32"/>
          <w:szCs w:val="32"/>
        </w:rPr>
        <w:t>、交易概况</w:t>
      </w:r>
      <w:bookmarkEnd w:id="0"/>
    </w:p>
    <w:p>
      <w:pPr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（一）总体情况。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第四季度</w:t>
      </w:r>
      <w:r>
        <w:rPr>
          <w:rFonts w:hint="eastAsia" w:ascii="仿宋_GB2312" w:hAnsi="仿宋" w:eastAsia="仿宋_GB2312"/>
          <w:sz w:val="32"/>
          <w:szCs w:val="32"/>
        </w:rPr>
        <w:t>全市完成公共资源交易项目（含工程建设、政府集中采购、土地出让、产权交易）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168</w:t>
      </w:r>
      <w:r>
        <w:rPr>
          <w:rFonts w:hint="eastAsia" w:ascii="仿宋_GB2312" w:hAnsi="仿宋" w:eastAsia="仿宋_GB2312"/>
          <w:sz w:val="32"/>
          <w:szCs w:val="32"/>
        </w:rPr>
        <w:t>宗，与202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/>
          <w:sz w:val="32"/>
          <w:szCs w:val="32"/>
        </w:rPr>
        <w:t>季度相比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上升5.66</w:t>
      </w:r>
      <w:r>
        <w:rPr>
          <w:rFonts w:hint="eastAsia" w:ascii="仿宋_GB2312" w:hAnsi="仿宋" w:eastAsia="仿宋_GB2312"/>
          <w:sz w:val="32"/>
          <w:szCs w:val="32"/>
        </w:rPr>
        <w:t>%；交易总额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bookmarkStart w:id="5" w:name="_GoBack"/>
      <w:bookmarkEnd w:id="5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0.55亿</w:t>
      </w:r>
      <w:r>
        <w:rPr>
          <w:rFonts w:hint="eastAsia" w:ascii="仿宋_GB2312" w:hAnsi="仿宋" w:eastAsia="仿宋_GB2312"/>
          <w:sz w:val="32"/>
          <w:szCs w:val="32"/>
        </w:rPr>
        <w:t>元，与202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/>
          <w:sz w:val="32"/>
          <w:szCs w:val="32"/>
        </w:rPr>
        <w:t>季度相比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上升117.9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535805" cy="3253740"/>
            <wp:effectExtent l="0" t="0" r="17145" b="381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</w:p>
    <w:p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（二）项目分布（不含政府集中采购电子卖场数据）。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在交易项目数量方面，建设工程以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168</w:t>
      </w:r>
      <w:r>
        <w:rPr>
          <w:rFonts w:hint="eastAsia" w:ascii="仿宋_GB2312" w:hAnsi="仿宋" w:eastAsia="仿宋_GB2312"/>
          <w:sz w:val="32"/>
          <w:szCs w:val="32"/>
        </w:rPr>
        <w:t>宗（占比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75</w:t>
      </w:r>
      <w:r>
        <w:rPr>
          <w:rFonts w:hint="eastAsia" w:ascii="仿宋_GB2312" w:hAnsi="仿宋" w:eastAsia="仿宋_GB2312"/>
          <w:sz w:val="32"/>
          <w:szCs w:val="32"/>
        </w:rPr>
        <w:t>%）高于其他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类别</w:t>
      </w:r>
      <w:r>
        <w:rPr>
          <w:rFonts w:hint="eastAsia" w:ascii="仿宋_GB2312" w:hAnsi="仿宋" w:eastAsia="仿宋_GB2312"/>
          <w:sz w:val="32"/>
          <w:szCs w:val="32"/>
        </w:rPr>
        <w:t>；在交易金额方面，建设工程项目以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68.35亿</w:t>
      </w:r>
      <w:r>
        <w:rPr>
          <w:rFonts w:hint="eastAsia" w:ascii="仿宋_GB2312" w:hAnsi="仿宋" w:eastAsia="仿宋_GB2312"/>
          <w:sz w:val="32"/>
          <w:szCs w:val="32"/>
        </w:rPr>
        <w:t>元（占比75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48%）成为全市主要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交易类别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85725</wp:posOffset>
            </wp:positionV>
            <wp:extent cx="2505075" cy="2590800"/>
            <wp:effectExtent l="4445" t="4445" r="5715" b="6350"/>
            <wp:wrapSquare wrapText="bothSides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76200</wp:posOffset>
            </wp:positionV>
            <wp:extent cx="2390775" cy="2600325"/>
            <wp:effectExtent l="0" t="0" r="9525" b="9525"/>
            <wp:wrapTopAndBottom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tbl>
      <w:tblPr>
        <w:tblStyle w:val="9"/>
        <w:tblW w:w="520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737"/>
        <w:gridCol w:w="2098"/>
        <w:gridCol w:w="1774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0" w:type="pct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bookmarkStart w:id="1" w:name="_Toc72240301"/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分  类</w:t>
            </w:r>
          </w:p>
        </w:tc>
        <w:tc>
          <w:tcPr>
            <w:tcW w:w="978" w:type="pct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建设工程</w:t>
            </w:r>
          </w:p>
        </w:tc>
        <w:tc>
          <w:tcPr>
            <w:tcW w:w="1181" w:type="pct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政府集中采购</w:t>
            </w:r>
          </w:p>
        </w:tc>
        <w:tc>
          <w:tcPr>
            <w:tcW w:w="999" w:type="pct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土地使用权</w:t>
            </w:r>
          </w:p>
        </w:tc>
        <w:tc>
          <w:tcPr>
            <w:tcW w:w="910" w:type="pct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国有产权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0" w:type="pct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数量(宗)</w:t>
            </w:r>
          </w:p>
        </w:tc>
        <w:tc>
          <w:tcPr>
            <w:tcW w:w="978" w:type="pct"/>
            <w:vAlign w:val="top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168</w:t>
            </w:r>
          </w:p>
        </w:tc>
        <w:tc>
          <w:tcPr>
            <w:tcW w:w="1181" w:type="pct"/>
            <w:vAlign w:val="top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36</w:t>
            </w:r>
          </w:p>
        </w:tc>
        <w:tc>
          <w:tcPr>
            <w:tcW w:w="999" w:type="pct"/>
            <w:vAlign w:val="top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16</w:t>
            </w:r>
          </w:p>
        </w:tc>
        <w:tc>
          <w:tcPr>
            <w:tcW w:w="910" w:type="pct"/>
            <w:vAlign w:val="top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0" w:type="pct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金额(亿元)</w:t>
            </w:r>
          </w:p>
        </w:tc>
        <w:tc>
          <w:tcPr>
            <w:tcW w:w="978" w:type="pct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68.35</w:t>
            </w:r>
          </w:p>
        </w:tc>
        <w:tc>
          <w:tcPr>
            <w:tcW w:w="1181" w:type="pct"/>
            <w:vAlign w:val="top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1.24</w:t>
            </w:r>
          </w:p>
        </w:tc>
        <w:tc>
          <w:tcPr>
            <w:tcW w:w="999" w:type="pct"/>
            <w:vAlign w:val="top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18.93</w:t>
            </w:r>
          </w:p>
        </w:tc>
        <w:tc>
          <w:tcPr>
            <w:tcW w:w="910" w:type="pct"/>
            <w:vAlign w:val="top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2.03</w:t>
            </w:r>
          </w:p>
        </w:tc>
      </w:tr>
    </w:tbl>
    <w:p>
      <w:pPr>
        <w:widowControl/>
        <w:rPr>
          <w:rFonts w:ascii="仿宋" w:hAnsi="仿宋" w:eastAsia="仿宋"/>
          <w:bCs/>
          <w:kern w:val="44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二、分类交易情况</w:t>
      </w:r>
      <w:bookmarkEnd w:id="1"/>
    </w:p>
    <w:p>
      <w:pPr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（一）工程建设项目。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第四季度</w:t>
      </w:r>
      <w:r>
        <w:rPr>
          <w:rFonts w:hint="eastAsia" w:ascii="仿宋_GB2312" w:hAnsi="仿宋" w:eastAsia="仿宋_GB2312"/>
          <w:sz w:val="32"/>
          <w:szCs w:val="32"/>
        </w:rPr>
        <w:t>全市累计完成工程建设项目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168</w:t>
      </w:r>
      <w:r>
        <w:rPr>
          <w:rFonts w:hint="eastAsia" w:ascii="仿宋_GB2312" w:hAnsi="仿宋" w:eastAsia="仿宋_GB2312"/>
          <w:sz w:val="32"/>
          <w:szCs w:val="32"/>
        </w:rPr>
        <w:t>宗，环比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上升36.58</w:t>
      </w:r>
      <w:r>
        <w:rPr>
          <w:rFonts w:hint="eastAsia" w:ascii="仿宋_GB2312" w:hAnsi="仿宋" w:eastAsia="仿宋_GB2312"/>
          <w:sz w:val="32"/>
          <w:szCs w:val="32"/>
        </w:rPr>
        <w:t>%；交易金额68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5亿元</w:t>
      </w:r>
      <w:r>
        <w:rPr>
          <w:rFonts w:hint="eastAsia" w:ascii="仿宋_GB2312" w:hAnsi="仿宋" w:eastAsia="仿宋_GB2312"/>
          <w:sz w:val="32"/>
          <w:szCs w:val="32"/>
        </w:rPr>
        <w:t>，环比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上升66.90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667250" cy="2867025"/>
            <wp:effectExtent l="4445" t="5080" r="6985" b="825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923925</wp:posOffset>
            </wp:positionV>
            <wp:extent cx="2200275" cy="2324100"/>
            <wp:effectExtent l="0" t="0" r="9525" b="0"/>
            <wp:wrapSquare wrapText="bothSides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hint="eastAsia" w:ascii="仿宋_GB2312" w:hAnsi="仿宋" w:eastAsia="仿宋_GB2312"/>
          <w:sz w:val="32"/>
          <w:szCs w:val="32"/>
        </w:rPr>
        <w:t>1.在类别分布上，房建、市政项目在工程建设项目中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高于其它</w:t>
      </w:r>
      <w:r>
        <w:rPr>
          <w:rFonts w:hint="eastAsia" w:ascii="仿宋_GB2312" w:hAnsi="仿宋" w:eastAsia="仿宋_GB2312"/>
          <w:sz w:val="32"/>
          <w:szCs w:val="32"/>
        </w:rPr>
        <w:t>类别。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204470</wp:posOffset>
            </wp:positionV>
            <wp:extent cx="2143125" cy="2235835"/>
            <wp:effectExtent l="0" t="0" r="9525" b="12065"/>
            <wp:wrapSquare wrapText="bothSides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456"/>
        <w:gridCol w:w="1599"/>
        <w:gridCol w:w="1732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分  类</w:t>
            </w:r>
          </w:p>
        </w:tc>
        <w:tc>
          <w:tcPr>
            <w:tcW w:w="1456" w:type="dxa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房  建</w:t>
            </w:r>
          </w:p>
        </w:tc>
        <w:tc>
          <w:tcPr>
            <w:tcW w:w="1599" w:type="dxa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市  政</w:t>
            </w:r>
          </w:p>
        </w:tc>
        <w:tc>
          <w:tcPr>
            <w:tcW w:w="1732" w:type="dxa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交通工程</w:t>
            </w:r>
          </w:p>
        </w:tc>
        <w:tc>
          <w:tcPr>
            <w:tcW w:w="2008" w:type="dxa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其他项目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数量(宗)</w:t>
            </w:r>
          </w:p>
        </w:tc>
        <w:tc>
          <w:tcPr>
            <w:tcW w:w="1456" w:type="dxa"/>
            <w:vAlign w:val="top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69</w:t>
            </w:r>
          </w:p>
        </w:tc>
        <w:tc>
          <w:tcPr>
            <w:tcW w:w="1599" w:type="dxa"/>
            <w:vAlign w:val="top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52</w:t>
            </w:r>
          </w:p>
        </w:tc>
        <w:tc>
          <w:tcPr>
            <w:tcW w:w="1732" w:type="dxa"/>
            <w:vAlign w:val="top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21</w:t>
            </w:r>
          </w:p>
        </w:tc>
        <w:tc>
          <w:tcPr>
            <w:tcW w:w="2008" w:type="dxa"/>
            <w:vAlign w:val="top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金额（亿元）</w:t>
            </w:r>
          </w:p>
        </w:tc>
        <w:tc>
          <w:tcPr>
            <w:tcW w:w="1456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43.85</w:t>
            </w:r>
          </w:p>
        </w:tc>
        <w:tc>
          <w:tcPr>
            <w:tcW w:w="1599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8.64</w:t>
            </w:r>
          </w:p>
        </w:tc>
        <w:tc>
          <w:tcPr>
            <w:tcW w:w="1732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10.31</w:t>
            </w:r>
          </w:p>
        </w:tc>
        <w:tc>
          <w:tcPr>
            <w:tcW w:w="2008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5.52</w:t>
            </w:r>
          </w:p>
        </w:tc>
      </w:tr>
    </w:tbl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2.在区域分布上，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荣县</w:t>
      </w:r>
      <w:r>
        <w:rPr>
          <w:rFonts w:hint="eastAsia" w:ascii="仿宋_GB2312" w:hAnsi="仿宋" w:eastAsia="仿宋_GB2312"/>
          <w:sz w:val="32"/>
          <w:szCs w:val="32"/>
        </w:rPr>
        <w:t>以交易项目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39</w:t>
      </w:r>
      <w:r>
        <w:rPr>
          <w:rFonts w:hint="eastAsia" w:ascii="仿宋_GB2312" w:hAnsi="仿宋" w:eastAsia="仿宋_GB2312"/>
          <w:sz w:val="32"/>
          <w:szCs w:val="32"/>
        </w:rPr>
        <w:t>宗（占比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23.21</w:t>
      </w:r>
      <w:r>
        <w:rPr>
          <w:rFonts w:hint="eastAsia" w:ascii="仿宋_GB2312" w:hAnsi="仿宋" w:eastAsia="仿宋_GB2312"/>
          <w:sz w:val="32"/>
          <w:szCs w:val="32"/>
        </w:rPr>
        <w:t>%）高居于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本市</w:t>
      </w:r>
      <w:r>
        <w:rPr>
          <w:rFonts w:hint="eastAsia" w:ascii="仿宋_GB2312" w:hAnsi="仿宋" w:eastAsia="仿宋_GB2312"/>
          <w:sz w:val="32"/>
          <w:szCs w:val="32"/>
        </w:rPr>
        <w:t>其他区域，交易金额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17.39亿</w:t>
      </w:r>
      <w:r>
        <w:rPr>
          <w:rFonts w:hint="eastAsia" w:ascii="仿宋_GB2312" w:hAnsi="仿宋" w:eastAsia="仿宋_GB2312"/>
          <w:sz w:val="32"/>
          <w:szCs w:val="32"/>
        </w:rPr>
        <w:t>元（占比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25.45</w:t>
      </w:r>
      <w:r>
        <w:rPr>
          <w:rFonts w:hint="eastAsia" w:ascii="仿宋_GB2312" w:hAnsi="仿宋" w:eastAsia="仿宋_GB2312"/>
          <w:sz w:val="32"/>
          <w:szCs w:val="32"/>
        </w:rPr>
        <w:t>%）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成为</w:t>
      </w:r>
      <w:r>
        <w:rPr>
          <w:rFonts w:hint="eastAsia" w:ascii="仿宋_GB2312" w:hAnsi="仿宋" w:eastAsia="仿宋_GB2312"/>
          <w:sz w:val="32"/>
          <w:szCs w:val="32"/>
        </w:rPr>
        <w:t>全市工程建设项目中成交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金额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名。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drawing>
          <wp:inline distT="0" distB="0" distL="0" distR="0">
            <wp:extent cx="4523105" cy="3079115"/>
            <wp:effectExtent l="0" t="0" r="10795" b="6985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ind w:left="142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552950" cy="2619375"/>
            <wp:effectExtent l="4445" t="4445" r="14605" b="5080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>
      <w:pPr>
        <w:ind w:left="142" w:firstLine="640" w:firstLineChars="200"/>
        <w:rPr>
          <w:rFonts w:ascii="仿宋" w:hAnsi="仿宋" w:eastAsia="仿宋"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915"/>
        <w:gridCol w:w="1140"/>
        <w:gridCol w:w="1024"/>
        <w:gridCol w:w="1040"/>
        <w:gridCol w:w="937"/>
        <w:gridCol w:w="1092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20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区  域</w:t>
            </w:r>
          </w:p>
        </w:tc>
        <w:tc>
          <w:tcPr>
            <w:tcW w:w="915" w:type="dxa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市本级</w:t>
            </w:r>
          </w:p>
        </w:tc>
        <w:tc>
          <w:tcPr>
            <w:tcW w:w="1140" w:type="dxa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自流井</w:t>
            </w: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区</w:t>
            </w:r>
          </w:p>
        </w:tc>
        <w:tc>
          <w:tcPr>
            <w:tcW w:w="1024" w:type="dxa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沿滩</w:t>
            </w: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区</w:t>
            </w:r>
          </w:p>
        </w:tc>
        <w:tc>
          <w:tcPr>
            <w:tcW w:w="1040" w:type="dxa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贡井</w:t>
            </w: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区</w:t>
            </w:r>
          </w:p>
        </w:tc>
        <w:tc>
          <w:tcPr>
            <w:tcW w:w="937" w:type="dxa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大安</w:t>
            </w: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区</w:t>
            </w:r>
          </w:p>
        </w:tc>
        <w:tc>
          <w:tcPr>
            <w:tcW w:w="1092" w:type="dxa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荣县</w:t>
            </w:r>
          </w:p>
        </w:tc>
        <w:tc>
          <w:tcPr>
            <w:tcW w:w="1171" w:type="dxa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富顺</w:t>
            </w: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20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项目数(宗)</w:t>
            </w:r>
          </w:p>
        </w:tc>
        <w:tc>
          <w:tcPr>
            <w:tcW w:w="915" w:type="dxa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30</w:t>
            </w:r>
          </w:p>
        </w:tc>
        <w:tc>
          <w:tcPr>
            <w:tcW w:w="1140" w:type="dxa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1024" w:type="dxa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14</w:t>
            </w:r>
          </w:p>
        </w:tc>
        <w:tc>
          <w:tcPr>
            <w:tcW w:w="1040" w:type="dxa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9</w:t>
            </w:r>
          </w:p>
        </w:tc>
        <w:tc>
          <w:tcPr>
            <w:tcW w:w="937" w:type="dxa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27</w:t>
            </w:r>
          </w:p>
        </w:tc>
        <w:tc>
          <w:tcPr>
            <w:tcW w:w="1092" w:type="dxa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11</w:t>
            </w:r>
          </w:p>
        </w:tc>
        <w:tc>
          <w:tcPr>
            <w:tcW w:w="1171" w:type="dxa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0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金额（</w:t>
            </w: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亿</w:t>
            </w: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元）</w:t>
            </w:r>
          </w:p>
        </w:tc>
        <w:tc>
          <w:tcPr>
            <w:tcW w:w="91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12.02</w:t>
            </w:r>
          </w:p>
        </w:tc>
        <w:tc>
          <w:tcPr>
            <w:tcW w:w="1140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0.52</w:t>
            </w:r>
          </w:p>
        </w:tc>
        <w:tc>
          <w:tcPr>
            <w:tcW w:w="102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1.05</w:t>
            </w:r>
          </w:p>
        </w:tc>
        <w:tc>
          <w:tcPr>
            <w:tcW w:w="1040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0.83</w:t>
            </w:r>
          </w:p>
        </w:tc>
        <w:tc>
          <w:tcPr>
            <w:tcW w:w="937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16.13</w:t>
            </w:r>
          </w:p>
        </w:tc>
        <w:tc>
          <w:tcPr>
            <w:tcW w:w="109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0.92</w:t>
            </w:r>
          </w:p>
        </w:tc>
        <w:tc>
          <w:tcPr>
            <w:tcW w:w="1171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9.50</w:t>
            </w:r>
          </w:p>
        </w:tc>
      </w:tr>
    </w:tbl>
    <w:p>
      <w:pPr>
        <w:ind w:firstLine="640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3．在重大项目交易上，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第四季度</w:t>
      </w:r>
      <w:r>
        <w:rPr>
          <w:rFonts w:hint="eastAsia" w:ascii="仿宋_GB2312" w:hAnsi="仿宋" w:eastAsia="仿宋_GB2312"/>
          <w:sz w:val="32"/>
          <w:szCs w:val="32"/>
        </w:rPr>
        <w:t>全市累计完成总投资额5000万元以上的重大项目（含分标段交易）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sz w:val="32"/>
          <w:szCs w:val="32"/>
        </w:rPr>
        <w:t>宗，占比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15.48</w:t>
      </w:r>
      <w:r>
        <w:rPr>
          <w:rFonts w:hint="eastAsia" w:ascii="仿宋_GB2312" w:hAnsi="仿宋" w:eastAsia="仿宋_GB2312"/>
          <w:sz w:val="32"/>
          <w:szCs w:val="32"/>
        </w:rPr>
        <w:t>%；交易金额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53.18亿</w:t>
      </w:r>
      <w:r>
        <w:rPr>
          <w:rFonts w:hint="eastAsia" w:ascii="仿宋_GB2312" w:hAnsi="仿宋" w:eastAsia="仿宋_GB2312"/>
          <w:sz w:val="32"/>
          <w:szCs w:val="32"/>
        </w:rPr>
        <w:t>元，占比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77.8</w:t>
      </w:r>
      <w:r>
        <w:rPr>
          <w:rFonts w:hint="eastAsia" w:ascii="仿宋_GB2312" w:hAnsi="仿宋" w:eastAsia="仿宋_GB2312"/>
          <w:sz w:val="32"/>
          <w:szCs w:val="32"/>
        </w:rPr>
        <w:t>%，重大项目集中在房屋建筑和市政工程。</w:t>
      </w:r>
    </w:p>
    <w:p>
      <w:pPr>
        <w:spacing w:line="360" w:lineRule="auto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（二）政府集中采购项目。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第四季度</w:t>
      </w:r>
      <w:r>
        <w:rPr>
          <w:rFonts w:hint="eastAsia" w:ascii="仿宋_GB2312" w:hAnsi="仿宋" w:eastAsia="仿宋_GB2312"/>
          <w:sz w:val="32"/>
          <w:szCs w:val="32"/>
        </w:rPr>
        <w:t>全市共完成政府集中采购项目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36</w:t>
      </w:r>
      <w:r>
        <w:rPr>
          <w:rFonts w:hint="eastAsia" w:ascii="仿宋_GB2312" w:hAnsi="仿宋" w:eastAsia="仿宋_GB2312"/>
          <w:sz w:val="32"/>
          <w:szCs w:val="32"/>
        </w:rPr>
        <w:t>宗，环比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上升12.5%</w:t>
      </w:r>
      <w:r>
        <w:rPr>
          <w:rFonts w:hint="eastAsia" w:ascii="仿宋_GB2312" w:hAnsi="仿宋" w:eastAsia="仿宋_GB2312"/>
          <w:sz w:val="32"/>
          <w:szCs w:val="32"/>
        </w:rPr>
        <w:t>；交易金额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1.24亿</w:t>
      </w:r>
      <w:r>
        <w:rPr>
          <w:rFonts w:hint="eastAsia" w:ascii="仿宋_GB2312" w:hAnsi="仿宋" w:eastAsia="仿宋_GB2312"/>
          <w:sz w:val="32"/>
          <w:szCs w:val="32"/>
        </w:rPr>
        <w:t>元，环比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上升121.43</w:t>
      </w:r>
      <w:r>
        <w:rPr>
          <w:rFonts w:hint="eastAsia" w:ascii="仿宋_GB2312" w:hAnsi="仿宋" w:eastAsia="仿宋_GB2312"/>
          <w:sz w:val="32"/>
          <w:szCs w:val="32"/>
        </w:rPr>
        <w:t>%.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14605" b="12065"/>
            <wp:docPr id="11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1．在采购方式分布上，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公开招标</w:t>
      </w:r>
      <w:r>
        <w:rPr>
          <w:rFonts w:hint="eastAsia" w:ascii="仿宋_GB2312" w:hAnsi="仿宋" w:eastAsia="仿宋_GB2312"/>
          <w:sz w:val="32"/>
          <w:szCs w:val="32"/>
        </w:rPr>
        <w:t>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sz w:val="32"/>
          <w:szCs w:val="32"/>
        </w:rPr>
        <w:t>宗在交易项目数量上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以1.07亿元成交价位列政府采购成交价第一；询价</w:t>
      </w:r>
      <w:r>
        <w:rPr>
          <w:rFonts w:hint="eastAsia" w:ascii="仿宋_GB2312" w:hAnsi="仿宋" w:eastAsia="仿宋_GB2312"/>
          <w:sz w:val="32"/>
          <w:szCs w:val="32"/>
        </w:rPr>
        <w:t>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3宗，成交</w:t>
      </w:r>
      <w:r>
        <w:rPr>
          <w:rFonts w:hint="eastAsia" w:ascii="仿宋_GB2312" w:hAnsi="仿宋" w:eastAsia="仿宋_GB2312"/>
          <w:sz w:val="32"/>
          <w:szCs w:val="32"/>
        </w:rPr>
        <w:t>价为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0.02亿</w:t>
      </w:r>
      <w:r>
        <w:rPr>
          <w:rFonts w:hint="eastAsia" w:ascii="仿宋_GB2312" w:hAnsi="仿宋" w:eastAsia="仿宋_GB2312"/>
          <w:sz w:val="32"/>
          <w:szCs w:val="32"/>
        </w:rPr>
        <w:t>元；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竞争性磋商</w:t>
      </w:r>
      <w:r>
        <w:rPr>
          <w:rFonts w:hint="eastAsia" w:ascii="仿宋_GB2312" w:hAnsi="仿宋" w:eastAsia="仿宋_GB2312"/>
          <w:sz w:val="32"/>
          <w:szCs w:val="32"/>
        </w:rPr>
        <w:t>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，成交</w:t>
      </w:r>
      <w:r>
        <w:rPr>
          <w:rFonts w:hint="eastAsia" w:ascii="仿宋_GB2312" w:hAnsi="仿宋" w:eastAsia="仿宋_GB2312"/>
          <w:sz w:val="32"/>
          <w:szCs w:val="32"/>
        </w:rPr>
        <w:t>价为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0.09亿</w:t>
      </w:r>
      <w:r>
        <w:rPr>
          <w:rFonts w:hint="eastAsia" w:ascii="仿宋_GB2312" w:hAnsi="仿宋" w:eastAsia="仿宋_GB2312"/>
          <w:sz w:val="32"/>
          <w:szCs w:val="32"/>
        </w:rPr>
        <w:t>元；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竞争性谈判</w:t>
      </w:r>
      <w:r>
        <w:rPr>
          <w:rFonts w:hint="eastAsia" w:ascii="仿宋_GB2312" w:hAnsi="仿宋" w:eastAsia="仿宋_GB2312"/>
          <w:sz w:val="32"/>
          <w:szCs w:val="32"/>
        </w:rPr>
        <w:t>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10宗</w:t>
      </w:r>
      <w:r>
        <w:rPr>
          <w:rFonts w:hint="eastAsia" w:ascii="仿宋_GB2312" w:hAnsi="仿宋" w:eastAsia="仿宋_GB2312"/>
          <w:sz w:val="32"/>
          <w:szCs w:val="32"/>
        </w:rPr>
        <w:t>，成交价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为0.07亿</w:t>
      </w:r>
      <w:r>
        <w:rPr>
          <w:rFonts w:hint="eastAsia" w:ascii="仿宋_GB2312" w:hAnsi="仿宋" w:eastAsia="仿宋_GB2312"/>
          <w:sz w:val="32"/>
          <w:szCs w:val="32"/>
        </w:rPr>
        <w:t>元。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1514"/>
        <w:gridCol w:w="1956"/>
        <w:gridCol w:w="1242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2" w:type="dxa"/>
            <w:vAlign w:val="top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交易类型</w:t>
            </w:r>
          </w:p>
        </w:tc>
        <w:tc>
          <w:tcPr>
            <w:tcW w:w="1514" w:type="dxa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公开招标</w:t>
            </w:r>
          </w:p>
        </w:tc>
        <w:tc>
          <w:tcPr>
            <w:tcW w:w="1956" w:type="dxa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竞争性谈判</w:t>
            </w:r>
          </w:p>
        </w:tc>
        <w:tc>
          <w:tcPr>
            <w:tcW w:w="1242" w:type="dxa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询价</w:t>
            </w:r>
          </w:p>
        </w:tc>
        <w:tc>
          <w:tcPr>
            <w:tcW w:w="2008" w:type="dxa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竞争性磋商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02" w:type="dxa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数量(宗)</w:t>
            </w:r>
          </w:p>
        </w:tc>
        <w:tc>
          <w:tcPr>
            <w:tcW w:w="1514" w:type="dxa"/>
            <w:vAlign w:val="top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14</w:t>
            </w:r>
          </w:p>
        </w:tc>
        <w:tc>
          <w:tcPr>
            <w:tcW w:w="1956" w:type="dxa"/>
            <w:vAlign w:val="top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10</w:t>
            </w:r>
          </w:p>
        </w:tc>
        <w:tc>
          <w:tcPr>
            <w:tcW w:w="1242" w:type="dxa"/>
            <w:vAlign w:val="top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2008" w:type="dxa"/>
            <w:vAlign w:val="top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802" w:type="dxa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金额（亿元）</w:t>
            </w:r>
          </w:p>
        </w:tc>
        <w:tc>
          <w:tcPr>
            <w:tcW w:w="1514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1.07</w:t>
            </w:r>
          </w:p>
        </w:tc>
        <w:tc>
          <w:tcPr>
            <w:tcW w:w="1956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0.07</w:t>
            </w:r>
          </w:p>
        </w:tc>
        <w:tc>
          <w:tcPr>
            <w:tcW w:w="1242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0.02</w:t>
            </w:r>
          </w:p>
        </w:tc>
        <w:tc>
          <w:tcPr>
            <w:tcW w:w="2008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0.09</w:t>
            </w:r>
          </w:p>
        </w:tc>
      </w:tr>
    </w:tbl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10795" b="10795"/>
            <wp:docPr id="19" name="图表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14605" b="12065"/>
            <wp:docPr id="22" name="图表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在行政区域分布上，市本级（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含驻市</w:t>
      </w:r>
      <w:r>
        <w:rPr>
          <w:rFonts w:hint="eastAsia" w:ascii="仿宋_GB2312" w:hAnsi="仿宋" w:eastAsia="仿宋_GB2312"/>
          <w:sz w:val="32"/>
          <w:szCs w:val="32"/>
        </w:rPr>
        <w:t>省级预算单位）成</w:t>
      </w:r>
      <w:bookmarkStart w:id="2" w:name="_Hlk74921107"/>
      <w:r>
        <w:rPr>
          <w:rFonts w:hint="eastAsia" w:ascii="仿宋_GB2312" w:hAnsi="仿宋" w:eastAsia="仿宋_GB2312"/>
          <w:sz w:val="32"/>
          <w:szCs w:val="32"/>
        </w:rPr>
        <w:t>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sz w:val="32"/>
          <w:szCs w:val="32"/>
        </w:rPr>
        <w:t>宗，成交价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1亿</w:t>
      </w:r>
      <w:r>
        <w:rPr>
          <w:rFonts w:hint="eastAsia" w:ascii="仿宋_GB2312" w:hAnsi="仿宋" w:eastAsia="仿宋_GB2312"/>
          <w:sz w:val="32"/>
          <w:szCs w:val="32"/>
        </w:rPr>
        <w:t>元</w:t>
      </w:r>
      <w:bookmarkEnd w:id="2"/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成为</w:t>
      </w:r>
      <w:r>
        <w:rPr>
          <w:rFonts w:hint="eastAsia" w:ascii="仿宋_GB2312" w:hAnsi="仿宋" w:eastAsia="仿宋_GB2312"/>
          <w:sz w:val="32"/>
          <w:szCs w:val="32"/>
        </w:rPr>
        <w:t>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宗数、成交金额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名；</w:t>
      </w:r>
      <w:bookmarkStart w:id="3" w:name="_Hlk74920865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富顺县成交4宗，成交价为0.03亿元；荣县成交4宗，成交价为0.11亿元；</w:t>
      </w:r>
      <w:r>
        <w:rPr>
          <w:rFonts w:hint="eastAsia" w:ascii="仿宋_GB2312" w:hAnsi="仿宋" w:eastAsia="仿宋_GB2312"/>
          <w:sz w:val="32"/>
          <w:szCs w:val="32"/>
        </w:rPr>
        <w:t>高新区成交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宗，成交价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0.01亿</w:t>
      </w:r>
      <w:r>
        <w:rPr>
          <w:rFonts w:hint="eastAsia" w:ascii="仿宋_GB2312" w:hAnsi="仿宋" w:eastAsia="仿宋_GB2312"/>
          <w:sz w:val="32"/>
          <w:szCs w:val="32"/>
        </w:rPr>
        <w:t>元</w:t>
      </w:r>
      <w:bookmarkEnd w:id="3"/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贡井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成交2宗，成交价0.008亿元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自流井区成交1宗，成交价0.02亿元；大安区成交1宗，成交价0.03亿元；省级项目1宗，成交价0.03亿元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numPr>
          <w:ilvl w:val="0"/>
          <w:numId w:val="0"/>
        </w:numPr>
        <w:rPr>
          <w:rFonts w:hint="eastAsia" w:ascii="仿宋_GB2312" w:hAnsi="仿宋" w:eastAsia="仿宋_GB2312"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780"/>
        <w:gridCol w:w="780"/>
        <w:gridCol w:w="780"/>
        <w:gridCol w:w="780"/>
        <w:gridCol w:w="708"/>
        <w:gridCol w:w="780"/>
        <w:gridCol w:w="780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区  域</w:t>
            </w:r>
          </w:p>
        </w:tc>
        <w:tc>
          <w:tcPr>
            <w:tcW w:w="0" w:type="auto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市本级</w:t>
            </w:r>
          </w:p>
        </w:tc>
        <w:tc>
          <w:tcPr>
            <w:tcW w:w="0" w:type="auto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自流井</w:t>
            </w:r>
          </w:p>
        </w:tc>
        <w:tc>
          <w:tcPr>
            <w:tcW w:w="0" w:type="auto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高新区</w:t>
            </w:r>
          </w:p>
        </w:tc>
        <w:tc>
          <w:tcPr>
            <w:tcW w:w="0" w:type="auto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贡井区</w:t>
            </w:r>
          </w:p>
        </w:tc>
        <w:tc>
          <w:tcPr>
            <w:tcW w:w="0" w:type="auto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荣  县</w:t>
            </w:r>
          </w:p>
        </w:tc>
        <w:tc>
          <w:tcPr>
            <w:tcW w:w="0" w:type="auto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富顺县</w:t>
            </w:r>
          </w:p>
        </w:tc>
        <w:tc>
          <w:tcPr>
            <w:tcW w:w="0" w:type="auto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大安区</w:t>
            </w:r>
          </w:p>
        </w:tc>
        <w:tc>
          <w:tcPr>
            <w:tcW w:w="0" w:type="auto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省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项目数(宗)</w:t>
            </w:r>
          </w:p>
        </w:tc>
        <w:tc>
          <w:tcPr>
            <w:tcW w:w="0" w:type="auto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21</w:t>
            </w:r>
          </w:p>
        </w:tc>
        <w:tc>
          <w:tcPr>
            <w:tcW w:w="0" w:type="auto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0" w:type="auto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0" w:type="auto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0" w:type="auto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0" w:type="auto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0" w:type="auto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0" w:type="auto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金额（亿元）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0.02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0.01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0.008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 xml:space="preserve">0.11 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0.03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0.03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0.03</w:t>
            </w:r>
          </w:p>
        </w:tc>
      </w:tr>
    </w:tbl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14605" b="12065"/>
            <wp:docPr id="30" name="图表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0" t="0" r="0" b="0"/>
            <wp:docPr id="32" name="图表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>
      <w:pPr>
        <w:widowControl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（三）土地使用权出让。</w:t>
      </w:r>
      <w:r>
        <w:rPr>
          <w:rFonts w:hint="eastAsia" w:ascii="仿宋_GB2312" w:hAnsi="仿宋" w:eastAsia="仿宋_GB2312"/>
          <w:sz w:val="32"/>
          <w:szCs w:val="32"/>
        </w:rPr>
        <w:t>全市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第四季度</w:t>
      </w:r>
      <w:r>
        <w:rPr>
          <w:rFonts w:hint="eastAsia" w:ascii="仿宋_GB2312" w:hAnsi="仿宋" w:eastAsia="仿宋_GB2312"/>
          <w:sz w:val="32"/>
          <w:szCs w:val="32"/>
        </w:rPr>
        <w:t>共完成土地使用权出让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</w:rPr>
        <w:t>宗，环比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上升700</w:t>
      </w:r>
      <w:r>
        <w:rPr>
          <w:rFonts w:hint="eastAsia" w:ascii="仿宋_GB2312" w:hAnsi="仿宋" w:eastAsia="仿宋_GB2312"/>
          <w:sz w:val="32"/>
          <w:szCs w:val="32"/>
        </w:rPr>
        <w:t>%；出让土地总面积1196.67亩，环比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上升1263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成交金额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18.93亿元，环比上升30278%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781550" cy="2857500"/>
            <wp:effectExtent l="0" t="0" r="0" b="0"/>
            <wp:docPr id="16" name="图表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在土地用途上，</w:t>
      </w:r>
      <w:bookmarkStart w:id="4" w:name="_Hlk74839656"/>
      <w:r>
        <w:rPr>
          <w:rFonts w:hint="eastAsia" w:ascii="仿宋_GB2312" w:hAnsi="仿宋" w:eastAsia="仿宋_GB2312"/>
          <w:sz w:val="32"/>
          <w:szCs w:val="32"/>
          <w:lang w:eastAsia="zh-CN"/>
        </w:rPr>
        <w:t>第四季度</w:t>
      </w:r>
      <w:r>
        <w:rPr>
          <w:rFonts w:hint="eastAsia" w:ascii="仿宋_GB2312" w:hAnsi="仿宋" w:eastAsia="仿宋_GB2312"/>
          <w:sz w:val="32"/>
          <w:szCs w:val="32"/>
        </w:rPr>
        <w:t>工业用地面积为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140.376480</w:t>
      </w:r>
      <w:r>
        <w:rPr>
          <w:rFonts w:hint="eastAsia" w:ascii="仿宋_GB2312" w:hAnsi="仿宋" w:eastAsia="仿宋_GB2312"/>
          <w:sz w:val="32"/>
          <w:szCs w:val="32"/>
        </w:rPr>
        <w:t>亩</w:t>
      </w:r>
      <w:bookmarkEnd w:id="4"/>
      <w:r>
        <w:rPr>
          <w:rFonts w:hint="eastAsia" w:ascii="仿宋_GB2312" w:hAnsi="仿宋" w:eastAsia="仿宋_GB2312"/>
          <w:sz w:val="32"/>
          <w:szCs w:val="32"/>
        </w:rPr>
        <w:t>，工业用地成交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0.18亿</w:t>
      </w:r>
      <w:r>
        <w:rPr>
          <w:rFonts w:hint="eastAsia" w:ascii="仿宋_GB2312" w:hAnsi="仿宋" w:eastAsia="仿宋_GB2312"/>
          <w:sz w:val="32"/>
          <w:szCs w:val="32"/>
        </w:rPr>
        <w:t>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；其他类型(非工业)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面积为172.585700亩，成交0.26亿元；以商业为主(非工业)面积为52.183815亩，成交0.88亿元；以住宅为主(非工业)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面积为831.53亩，成交17.6亿元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numPr>
          <w:ilvl w:val="0"/>
          <w:numId w:val="2"/>
        </w:num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国有产权。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第四季度</w:t>
      </w:r>
      <w:r>
        <w:rPr>
          <w:rFonts w:hint="eastAsia" w:ascii="仿宋_GB2312" w:hAnsi="仿宋" w:eastAsia="仿宋_GB2312"/>
          <w:sz w:val="32"/>
          <w:szCs w:val="32"/>
        </w:rPr>
        <w:t>全市产权类项目入场交易累计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宗，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环比上升100%</w:t>
      </w:r>
      <w:r>
        <w:rPr>
          <w:rFonts w:hint="eastAsia" w:ascii="仿宋_GB2312" w:hAnsi="仿宋" w:eastAsia="仿宋_GB2312"/>
          <w:sz w:val="32"/>
          <w:szCs w:val="32"/>
        </w:rPr>
        <w:t>；其中市本级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宗。项目交易额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2.03亿元</w:t>
      </w:r>
      <w:r>
        <w:rPr>
          <w:rFonts w:hint="eastAsia" w:ascii="仿宋_GB2312" w:hAnsi="仿宋" w:eastAsia="仿宋_GB2312"/>
          <w:sz w:val="32"/>
          <w:szCs w:val="32"/>
        </w:rPr>
        <w:t>，增值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0.07亿</w:t>
      </w:r>
      <w:r>
        <w:rPr>
          <w:rFonts w:hint="eastAsia" w:ascii="仿宋_GB2312" w:hAnsi="仿宋" w:eastAsia="仿宋_GB2312"/>
          <w:sz w:val="32"/>
          <w:szCs w:val="32"/>
        </w:rPr>
        <w:t>元。</w:t>
      </w:r>
    </w:p>
    <w:p>
      <w:pPr>
        <w:numPr>
          <w:ilvl w:val="0"/>
          <w:numId w:val="0"/>
        </w:num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638675" cy="3360420"/>
            <wp:effectExtent l="0" t="0" r="9525" b="11430"/>
            <wp:docPr id="25" name="图表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BE894E"/>
    <w:multiLevelType w:val="singleLevel"/>
    <w:tmpl w:val="9CBE894E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E642211A"/>
    <w:multiLevelType w:val="singleLevel"/>
    <w:tmpl w:val="E642211A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</w:docVars>
  <w:rsids>
    <w:rsidRoot w:val="001A4768"/>
    <w:rsid w:val="00010453"/>
    <w:rsid w:val="0001550F"/>
    <w:rsid w:val="0004214C"/>
    <w:rsid w:val="000475CA"/>
    <w:rsid w:val="000544C5"/>
    <w:rsid w:val="000A18B6"/>
    <w:rsid w:val="000B4D92"/>
    <w:rsid w:val="0012422D"/>
    <w:rsid w:val="00140DEC"/>
    <w:rsid w:val="001539A0"/>
    <w:rsid w:val="0019228D"/>
    <w:rsid w:val="001A4768"/>
    <w:rsid w:val="001C2C9C"/>
    <w:rsid w:val="001E4428"/>
    <w:rsid w:val="001F0C2B"/>
    <w:rsid w:val="00241098"/>
    <w:rsid w:val="00262B5D"/>
    <w:rsid w:val="00270F60"/>
    <w:rsid w:val="0029288E"/>
    <w:rsid w:val="002A299B"/>
    <w:rsid w:val="002C38EF"/>
    <w:rsid w:val="002D1A47"/>
    <w:rsid w:val="002E1F3A"/>
    <w:rsid w:val="002E60BE"/>
    <w:rsid w:val="003A0A19"/>
    <w:rsid w:val="003A2DAC"/>
    <w:rsid w:val="003C3288"/>
    <w:rsid w:val="003E0713"/>
    <w:rsid w:val="00402D3A"/>
    <w:rsid w:val="00432844"/>
    <w:rsid w:val="0048780C"/>
    <w:rsid w:val="00490329"/>
    <w:rsid w:val="00506725"/>
    <w:rsid w:val="00527E2A"/>
    <w:rsid w:val="00542C0F"/>
    <w:rsid w:val="005763BD"/>
    <w:rsid w:val="005908FF"/>
    <w:rsid w:val="00601E82"/>
    <w:rsid w:val="00610B55"/>
    <w:rsid w:val="00643E35"/>
    <w:rsid w:val="00662E0D"/>
    <w:rsid w:val="00671935"/>
    <w:rsid w:val="00680DD1"/>
    <w:rsid w:val="006844F0"/>
    <w:rsid w:val="00693874"/>
    <w:rsid w:val="006B16AE"/>
    <w:rsid w:val="006D08B2"/>
    <w:rsid w:val="006E554A"/>
    <w:rsid w:val="00700DE6"/>
    <w:rsid w:val="007341D9"/>
    <w:rsid w:val="007573FB"/>
    <w:rsid w:val="007653CE"/>
    <w:rsid w:val="007A49CA"/>
    <w:rsid w:val="007D37E2"/>
    <w:rsid w:val="00816F4C"/>
    <w:rsid w:val="00823A68"/>
    <w:rsid w:val="00864B5F"/>
    <w:rsid w:val="008767D0"/>
    <w:rsid w:val="008C4D3E"/>
    <w:rsid w:val="008F1E37"/>
    <w:rsid w:val="0093351E"/>
    <w:rsid w:val="00985434"/>
    <w:rsid w:val="009A7C00"/>
    <w:rsid w:val="009B5350"/>
    <w:rsid w:val="009C3644"/>
    <w:rsid w:val="00A23CFF"/>
    <w:rsid w:val="00A2510A"/>
    <w:rsid w:val="00A500B8"/>
    <w:rsid w:val="00A543DF"/>
    <w:rsid w:val="00AB4CA3"/>
    <w:rsid w:val="00AC1F43"/>
    <w:rsid w:val="00AE4D79"/>
    <w:rsid w:val="00AF173E"/>
    <w:rsid w:val="00B06593"/>
    <w:rsid w:val="00B31103"/>
    <w:rsid w:val="00B96CAC"/>
    <w:rsid w:val="00BF2311"/>
    <w:rsid w:val="00C02D29"/>
    <w:rsid w:val="00C34E75"/>
    <w:rsid w:val="00C40B13"/>
    <w:rsid w:val="00C53CB6"/>
    <w:rsid w:val="00C565F4"/>
    <w:rsid w:val="00C61B70"/>
    <w:rsid w:val="00C61FC5"/>
    <w:rsid w:val="00C62B0C"/>
    <w:rsid w:val="00C63376"/>
    <w:rsid w:val="00C97A94"/>
    <w:rsid w:val="00CA6C1D"/>
    <w:rsid w:val="00CF2441"/>
    <w:rsid w:val="00CF4B20"/>
    <w:rsid w:val="00D101D2"/>
    <w:rsid w:val="00D15253"/>
    <w:rsid w:val="00D4586C"/>
    <w:rsid w:val="00DB416A"/>
    <w:rsid w:val="00E22E9D"/>
    <w:rsid w:val="00E474A2"/>
    <w:rsid w:val="00E65BF2"/>
    <w:rsid w:val="00E727A3"/>
    <w:rsid w:val="00EE5EA6"/>
    <w:rsid w:val="00F20869"/>
    <w:rsid w:val="00F34AF6"/>
    <w:rsid w:val="00F40C6A"/>
    <w:rsid w:val="00F419B3"/>
    <w:rsid w:val="00F43111"/>
    <w:rsid w:val="00F62AE4"/>
    <w:rsid w:val="00F83873"/>
    <w:rsid w:val="00F97FDE"/>
    <w:rsid w:val="00FB52EE"/>
    <w:rsid w:val="00FC5BEC"/>
    <w:rsid w:val="00FD03FE"/>
    <w:rsid w:val="012B5AAA"/>
    <w:rsid w:val="01C42B8B"/>
    <w:rsid w:val="0243433D"/>
    <w:rsid w:val="0275224B"/>
    <w:rsid w:val="030959A0"/>
    <w:rsid w:val="03B07824"/>
    <w:rsid w:val="03B95D83"/>
    <w:rsid w:val="06B10496"/>
    <w:rsid w:val="077C00F5"/>
    <w:rsid w:val="095D1920"/>
    <w:rsid w:val="0AFF7B67"/>
    <w:rsid w:val="0DC0757C"/>
    <w:rsid w:val="0DC56929"/>
    <w:rsid w:val="0E771481"/>
    <w:rsid w:val="0EB46846"/>
    <w:rsid w:val="119526C6"/>
    <w:rsid w:val="124473D0"/>
    <w:rsid w:val="12CC7AF2"/>
    <w:rsid w:val="13730106"/>
    <w:rsid w:val="138E5603"/>
    <w:rsid w:val="13CC1D73"/>
    <w:rsid w:val="140D6614"/>
    <w:rsid w:val="143664D8"/>
    <w:rsid w:val="159D092B"/>
    <w:rsid w:val="162437A1"/>
    <w:rsid w:val="165006DF"/>
    <w:rsid w:val="16972DA9"/>
    <w:rsid w:val="16C64858"/>
    <w:rsid w:val="175D1BF5"/>
    <w:rsid w:val="176E71E5"/>
    <w:rsid w:val="1AC8208F"/>
    <w:rsid w:val="1B9069C1"/>
    <w:rsid w:val="1BDA048E"/>
    <w:rsid w:val="1C096F2E"/>
    <w:rsid w:val="1C2D254D"/>
    <w:rsid w:val="1CC006D5"/>
    <w:rsid w:val="1CC90604"/>
    <w:rsid w:val="1D7D71A6"/>
    <w:rsid w:val="1DF2140B"/>
    <w:rsid w:val="1E591BA3"/>
    <w:rsid w:val="1F6A67BE"/>
    <w:rsid w:val="1F905DD0"/>
    <w:rsid w:val="20903977"/>
    <w:rsid w:val="216B3C80"/>
    <w:rsid w:val="2203697F"/>
    <w:rsid w:val="22591B33"/>
    <w:rsid w:val="2292522B"/>
    <w:rsid w:val="229D0C0C"/>
    <w:rsid w:val="23843155"/>
    <w:rsid w:val="23E944F0"/>
    <w:rsid w:val="244F7A97"/>
    <w:rsid w:val="24A73F1B"/>
    <w:rsid w:val="25D70334"/>
    <w:rsid w:val="27911A4D"/>
    <w:rsid w:val="28197DF3"/>
    <w:rsid w:val="285A3310"/>
    <w:rsid w:val="29096438"/>
    <w:rsid w:val="29361D11"/>
    <w:rsid w:val="29BD6D49"/>
    <w:rsid w:val="2A566214"/>
    <w:rsid w:val="2B51698E"/>
    <w:rsid w:val="2C5C66F6"/>
    <w:rsid w:val="2DAF544A"/>
    <w:rsid w:val="2FF3270A"/>
    <w:rsid w:val="302C20AC"/>
    <w:rsid w:val="324B4A69"/>
    <w:rsid w:val="33114C55"/>
    <w:rsid w:val="336F654B"/>
    <w:rsid w:val="34A21B2F"/>
    <w:rsid w:val="357C76A0"/>
    <w:rsid w:val="35BF6BEA"/>
    <w:rsid w:val="35E6061B"/>
    <w:rsid w:val="36C1778B"/>
    <w:rsid w:val="39EF6808"/>
    <w:rsid w:val="3A345DF9"/>
    <w:rsid w:val="3C797EB2"/>
    <w:rsid w:val="3CA16B81"/>
    <w:rsid w:val="3CE70FA1"/>
    <w:rsid w:val="3CF1348B"/>
    <w:rsid w:val="3F2A5652"/>
    <w:rsid w:val="3F8D1DF7"/>
    <w:rsid w:val="40976E87"/>
    <w:rsid w:val="40A6100C"/>
    <w:rsid w:val="41A5308F"/>
    <w:rsid w:val="42D542C2"/>
    <w:rsid w:val="43537473"/>
    <w:rsid w:val="43BC29BB"/>
    <w:rsid w:val="449B55D0"/>
    <w:rsid w:val="451630CA"/>
    <w:rsid w:val="456F75B7"/>
    <w:rsid w:val="45921F36"/>
    <w:rsid w:val="46031658"/>
    <w:rsid w:val="49381995"/>
    <w:rsid w:val="494C01F4"/>
    <w:rsid w:val="49711986"/>
    <w:rsid w:val="49F91B62"/>
    <w:rsid w:val="4CA20757"/>
    <w:rsid w:val="4CB5339B"/>
    <w:rsid w:val="4CD74010"/>
    <w:rsid w:val="4D913251"/>
    <w:rsid w:val="4DD252B5"/>
    <w:rsid w:val="4FF27E90"/>
    <w:rsid w:val="50D50306"/>
    <w:rsid w:val="51E657D3"/>
    <w:rsid w:val="533A3AC2"/>
    <w:rsid w:val="534F6BA6"/>
    <w:rsid w:val="53716D24"/>
    <w:rsid w:val="545A4256"/>
    <w:rsid w:val="547B428B"/>
    <w:rsid w:val="55084428"/>
    <w:rsid w:val="55466588"/>
    <w:rsid w:val="56743063"/>
    <w:rsid w:val="57CC0ADA"/>
    <w:rsid w:val="58790192"/>
    <w:rsid w:val="59D45112"/>
    <w:rsid w:val="5A261275"/>
    <w:rsid w:val="5B8A2054"/>
    <w:rsid w:val="5DE476E4"/>
    <w:rsid w:val="5E1703BA"/>
    <w:rsid w:val="5E236687"/>
    <w:rsid w:val="5EB12C47"/>
    <w:rsid w:val="5EB442E0"/>
    <w:rsid w:val="624F6EEF"/>
    <w:rsid w:val="62EE327E"/>
    <w:rsid w:val="630A4AC2"/>
    <w:rsid w:val="641D0D49"/>
    <w:rsid w:val="66641213"/>
    <w:rsid w:val="671F0D5B"/>
    <w:rsid w:val="68235A1D"/>
    <w:rsid w:val="68656A71"/>
    <w:rsid w:val="6A303B47"/>
    <w:rsid w:val="6A987F7C"/>
    <w:rsid w:val="6AAE2B18"/>
    <w:rsid w:val="6AF755A5"/>
    <w:rsid w:val="6B737754"/>
    <w:rsid w:val="6BB55589"/>
    <w:rsid w:val="6CB947C1"/>
    <w:rsid w:val="6D1871B2"/>
    <w:rsid w:val="6D3564FB"/>
    <w:rsid w:val="6D643A97"/>
    <w:rsid w:val="6F0D3BBF"/>
    <w:rsid w:val="6F3C6A8F"/>
    <w:rsid w:val="6F71097A"/>
    <w:rsid w:val="6F901C8B"/>
    <w:rsid w:val="70832F22"/>
    <w:rsid w:val="73A711B1"/>
    <w:rsid w:val="759A30E2"/>
    <w:rsid w:val="75BE094C"/>
    <w:rsid w:val="76C375E1"/>
    <w:rsid w:val="787053ED"/>
    <w:rsid w:val="78EB4D7D"/>
    <w:rsid w:val="79D8521D"/>
    <w:rsid w:val="7AE00762"/>
    <w:rsid w:val="7B9854E0"/>
    <w:rsid w:val="7D7F24B4"/>
    <w:rsid w:val="7E342E45"/>
    <w:rsid w:val="7EED169F"/>
    <w:rsid w:val="7F546B4E"/>
    <w:rsid w:val="7F852613"/>
    <w:rsid w:val="7F9D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7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autoRedefine/>
    <w:semiHidden/>
    <w:unhideWhenUsed/>
    <w:qFormat/>
    <w:uiPriority w:val="99"/>
    <w:rPr>
      <w:color w:val="800080"/>
      <w:u w:val="none"/>
    </w:rPr>
  </w:style>
  <w:style w:type="character" w:styleId="13">
    <w:name w:val="Emphasis"/>
    <w:basedOn w:val="10"/>
    <w:qFormat/>
    <w:uiPriority w:val="20"/>
    <w:rPr>
      <w:b/>
      <w:bCs/>
    </w:rPr>
  </w:style>
  <w:style w:type="character" w:styleId="14">
    <w:name w:val="HTML Definition"/>
    <w:basedOn w:val="10"/>
    <w:autoRedefine/>
    <w:semiHidden/>
    <w:unhideWhenUsed/>
    <w:qFormat/>
    <w:uiPriority w:val="99"/>
  </w:style>
  <w:style w:type="character" w:styleId="15">
    <w:name w:val="HTML Typewriter"/>
    <w:basedOn w:val="10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0"/>
    <w:semiHidden/>
    <w:unhideWhenUsed/>
    <w:qFormat/>
    <w:uiPriority w:val="99"/>
  </w:style>
  <w:style w:type="character" w:styleId="17">
    <w:name w:val="HTML Variable"/>
    <w:basedOn w:val="10"/>
    <w:semiHidden/>
    <w:unhideWhenUsed/>
    <w:qFormat/>
    <w:uiPriority w:val="99"/>
  </w:style>
  <w:style w:type="character" w:styleId="18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HTML Code"/>
    <w:basedOn w:val="1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0">
    <w:name w:val="HTML Cite"/>
    <w:basedOn w:val="10"/>
    <w:semiHidden/>
    <w:unhideWhenUsed/>
    <w:qFormat/>
    <w:uiPriority w:val="99"/>
  </w:style>
  <w:style w:type="character" w:styleId="21">
    <w:name w:val="HTML Keyboard"/>
    <w:basedOn w:val="1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0"/>
    <w:semiHidden/>
    <w:unhideWhenUsed/>
    <w:qFormat/>
    <w:uiPriority w:val="99"/>
    <w:rPr>
      <w:rFonts w:ascii="monospace" w:hAnsi="monospace" w:eastAsia="monospace" w:cs="monospace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25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26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hart" Target="charts/chart15.xml"/><Relationship Id="rId17" Type="http://schemas.openxmlformats.org/officeDocument/2006/relationships/chart" Target="charts/chart14.xml"/><Relationship Id="rId16" Type="http://schemas.openxmlformats.org/officeDocument/2006/relationships/chart" Target="charts/chart13.xml"/><Relationship Id="rId15" Type="http://schemas.openxmlformats.org/officeDocument/2006/relationships/chart" Target="charts/chart12.xml"/><Relationship Id="rId14" Type="http://schemas.openxmlformats.org/officeDocument/2006/relationships/chart" Target="charts/chart11.xml"/><Relationship Id="rId13" Type="http://schemas.openxmlformats.org/officeDocument/2006/relationships/chart" Target="charts/chart10.xml"/><Relationship Id="rId12" Type="http://schemas.openxmlformats.org/officeDocument/2006/relationships/chart" Target="charts/chart9.xml"/><Relationship Id="rId11" Type="http://schemas.openxmlformats.org/officeDocument/2006/relationships/chart" Target="charts/chart8.xml"/><Relationship Id="rId10" Type="http://schemas.openxmlformats.org/officeDocument/2006/relationships/chart" Target="charts/chart7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microsoft.com/office/2011/relationships/chartStyle" Target="style8.xml"/><Relationship Id="rId1" Type="http://schemas.openxmlformats.org/officeDocument/2006/relationships/package" Target="../embeddings/Workbook8.xlsx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microsoft.com/office/2011/relationships/chartStyle" Target="style9.xml"/><Relationship Id="rId1" Type="http://schemas.openxmlformats.org/officeDocument/2006/relationships/package" Target="../embeddings/Workbook9.xlsx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package" Target="../embeddings/Workbook7.xlsx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ColorStyle" Target="colors14.xml"/><Relationship Id="rId2" Type="http://schemas.microsoft.com/office/2011/relationships/chartStyle" Target="style14.xml"/><Relationship Id="rId1" Type="http://schemas.openxmlformats.org/officeDocument/2006/relationships/package" Target="../embeddings/Workbook14.xlsx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ColorStyle" Target="colors10.xml"/><Relationship Id="rId2" Type="http://schemas.microsoft.com/office/2011/relationships/chartStyle" Target="style10.xml"/><Relationship Id="rId1" Type="http://schemas.openxmlformats.org/officeDocument/2006/relationships/package" Target="../embeddings/Workbook10.xlsx"/></Relationships>
</file>

<file path=word/charts/_rels/chart14.xml.rels><?xml version="1.0" encoding="UTF-8" standalone="yes"?>
<Relationships xmlns="http://schemas.openxmlformats.org/package/2006/relationships"><Relationship Id="rId3" Type="http://schemas.microsoft.com/office/2011/relationships/chartColorStyle" Target="colors12.xml"/><Relationship Id="rId2" Type="http://schemas.microsoft.com/office/2011/relationships/chartStyle" Target="style12.xml"/><Relationship Id="rId1" Type="http://schemas.openxmlformats.org/officeDocument/2006/relationships/package" Target="../embeddings/Workbook12.xlsx"/></Relationships>
</file>

<file path=word/charts/_rels/chart15.xml.rels><?xml version="1.0" encoding="UTF-8" standalone="yes"?>
<Relationships xmlns="http://schemas.openxmlformats.org/package/2006/relationships"><Relationship Id="rId3" Type="http://schemas.microsoft.com/office/2011/relationships/chartColorStyle" Target="colors15.xml"/><Relationship Id="rId2" Type="http://schemas.microsoft.com/office/2011/relationships/chartStyle" Target="style15.xml"/><Relationship Id="rId1" Type="http://schemas.openxmlformats.org/officeDocument/2006/relationships/package" Target="../embeddings/Workbook15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package" Target="../embeddings/Workbook6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package" Target="../embeddings/Workbook5.xlsx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13.xml"/><Relationship Id="rId2" Type="http://schemas.microsoft.com/office/2011/relationships/chartStyle" Target="style13.xml"/><Relationship Id="rId1" Type="http://schemas.openxmlformats.org/officeDocument/2006/relationships/package" Target="../embeddings/Workbook13.xlsx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microsoft.com/office/2011/relationships/chartStyle" Target="style11.xml"/><Relationship Id="rId1" Type="http://schemas.openxmlformats.org/officeDocument/2006/relationships/package" Target="../embeddings/Workbook11.xlsx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2023</a:t>
            </a:r>
            <a:r>
              <a:rPr lang="zh-CN" altLang="en-US"/>
              <a:t>年第三季度与</a:t>
            </a:r>
            <a:r>
              <a:rPr lang="en-US" altLang="zh-CN"/>
              <a:t>2023</a:t>
            </a:r>
            <a:r>
              <a:rPr lang="zh-CN" altLang="en-US"/>
              <a:t>年第四季度交易总数对比</a:t>
            </a:r>
            <a:endParaRPr lang="zh-CN" altLang="en-US"/>
          </a:p>
        </c:rich>
      </c:tx>
      <c:layout>
        <c:manualLayout>
          <c:xMode val="edge"/>
          <c:yMode val="edge"/>
          <c:x val="0.117527649447011"/>
          <c:y val="0.021857923497267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2023年第三季度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交易项目（宗）</c:v>
                </c:pt>
                <c:pt idx="1">
                  <c:v>交易额（亿元）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159</c:v>
                </c:pt>
                <c:pt idx="1" c:formatCode="#,##0.00">
                  <c:v>41.5537102472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2023年第四季度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交易项目（宗）</c:v>
                </c:pt>
                <c:pt idx="1">
                  <c:v>交易额（亿元）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168</c:v>
                </c:pt>
                <c:pt idx="1" c:formatCode="#,##0.00">
                  <c:v>90.55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27957424"/>
        <c:axId val="1227966128"/>
      </c:barChart>
      <c:catAx>
        <c:axId val="1227957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66128"/>
        <c:crosses val="autoZero"/>
        <c:auto val="1"/>
        <c:lblAlgn val="ctr"/>
        <c:lblOffset val="100"/>
        <c:noMultiLvlLbl val="0"/>
      </c:catAx>
      <c:valAx>
        <c:axId val="1227966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574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tr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dist">
        <a:defRPr lang="zh-CN"/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采购方式项目数分布图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项目数(宗)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公开招标</c:v>
                </c:pt>
                <c:pt idx="1">
                  <c:v>竞争性磋商</c:v>
                </c:pt>
                <c:pt idx="2">
                  <c:v>竞争性谈判</c:v>
                </c:pt>
                <c:pt idx="3">
                  <c:v>询价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14</c:v>
                </c:pt>
                <c:pt idx="1">
                  <c:v>9</c:v>
                </c:pt>
                <c:pt idx="2">
                  <c:v>10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490720"/>
        <c:axId val="1146491264"/>
      </c:barChart>
      <c:catAx>
        <c:axId val="1146490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1264"/>
        <c:crosses val="autoZero"/>
        <c:auto val="1"/>
        <c:lblAlgn val="ctr"/>
        <c:lblOffset val="100"/>
        <c:noMultiLvlLbl val="0"/>
      </c:catAx>
      <c:valAx>
        <c:axId val="1146491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07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采购方式交易额分布图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交易额(亿元)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公开招标</c:v>
                </c:pt>
                <c:pt idx="1">
                  <c:v>竞争性磋商</c:v>
                </c:pt>
                <c:pt idx="2">
                  <c:v>竞争性谈判</c:v>
                </c:pt>
                <c:pt idx="3">
                  <c:v>询价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1.07</c:v>
                </c:pt>
                <c:pt idx="1">
                  <c:v>0.07</c:v>
                </c:pt>
                <c:pt idx="2">
                  <c:v>0.02</c:v>
                </c:pt>
                <c:pt idx="3">
                  <c:v>0.09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496704"/>
        <c:axId val="1146519552"/>
      </c:barChart>
      <c:catAx>
        <c:axId val="114649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9552"/>
        <c:crosses val="autoZero"/>
        <c:auto val="1"/>
        <c:lblAlgn val="ctr"/>
        <c:lblOffset val="100"/>
        <c:noMultiLvlLbl val="0"/>
      </c:catAx>
      <c:valAx>
        <c:axId val="1146519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67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行政区域项目数分布图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项目数(宗)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Sheet1!$A$2:$A$9</c:f>
              <c:strCache>
                <c:ptCount val="8"/>
                <c:pt idx="0">
                  <c:v>市本级</c:v>
                </c:pt>
                <c:pt idx="1">
                  <c:v>高新区</c:v>
                </c:pt>
                <c:pt idx="2">
                  <c:v>荣县</c:v>
                </c:pt>
                <c:pt idx="3">
                  <c:v>贡井区</c:v>
                </c:pt>
                <c:pt idx="4">
                  <c:v>自流井区</c:v>
                </c:pt>
                <c:pt idx="5">
                  <c:v>富顺县</c:v>
                </c:pt>
                <c:pt idx="6">
                  <c:v>大安区</c:v>
                </c:pt>
                <c:pt idx="7">
                  <c:v>省级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21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520096"/>
        <c:axId val="1146492352"/>
      </c:barChart>
      <c:catAx>
        <c:axId val="1146520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2352"/>
        <c:crosses val="autoZero"/>
        <c:auto val="1"/>
        <c:lblAlgn val="ctr"/>
        <c:lblOffset val="100"/>
        <c:noMultiLvlLbl val="0"/>
      </c:catAx>
      <c:valAx>
        <c:axId val="1146492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2009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行政区域交易额分布图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交易额(万元)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Sheet1!$A$2:$A$9</c:f>
              <c:strCache>
                <c:ptCount val="8"/>
                <c:pt idx="0">
                  <c:v>市本级</c:v>
                </c:pt>
                <c:pt idx="1">
                  <c:v>高新区</c:v>
                </c:pt>
                <c:pt idx="2">
                  <c:v>荣县</c:v>
                </c:pt>
                <c:pt idx="3">
                  <c:v>自流井区</c:v>
                </c:pt>
                <c:pt idx="4">
                  <c:v>富顺县</c:v>
                </c:pt>
                <c:pt idx="5">
                  <c:v>贡井区</c:v>
                </c:pt>
                <c:pt idx="6">
                  <c:v>大安区</c:v>
                </c:pt>
                <c:pt idx="7">
                  <c:v>省级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1</c:v>
                </c:pt>
                <c:pt idx="1">
                  <c:v>0.01</c:v>
                </c:pt>
                <c:pt idx="2">
                  <c:v>0.11</c:v>
                </c:pt>
                <c:pt idx="3">
                  <c:v>0.02</c:v>
                </c:pt>
                <c:pt idx="4">
                  <c:v>0.03</c:v>
                </c:pt>
                <c:pt idx="5">
                  <c:v>0.008</c:v>
                </c:pt>
                <c:pt idx="6">
                  <c:v>0.03</c:v>
                </c:pt>
                <c:pt idx="7">
                  <c:v>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521728"/>
        <c:axId val="1146516288"/>
      </c:barChart>
      <c:catAx>
        <c:axId val="1146521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6288"/>
        <c:crosses val="autoZero"/>
        <c:auto val="1"/>
        <c:lblAlgn val="ctr"/>
        <c:lblOffset val="100"/>
        <c:noMultiLvlLbl val="0"/>
      </c:catAx>
      <c:valAx>
        <c:axId val="1146516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217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土地交易</a:t>
            </a:r>
            <a:r>
              <a:rPr lang="en-US" altLang="zh-CN"/>
              <a:t>2023</a:t>
            </a:r>
            <a:r>
              <a:rPr lang="zh-CN" altLang="en-US"/>
              <a:t>年第三季度与</a:t>
            </a:r>
            <a:r>
              <a:rPr lang="en-US" altLang="zh-CN"/>
              <a:t>2023</a:t>
            </a:r>
            <a:r>
              <a:rPr altLang="en-US"/>
              <a:t>第四季度</a:t>
            </a:r>
            <a:endParaRPr lang="en-US" altLang="zh-CN"/>
          </a:p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对比图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2023年第三季度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土地面积（亩）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0.05</c:v>
                </c:pt>
                <c:pt idx="1">
                  <c:v>87.82547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2023年第四季度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土地面积（亩）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18.93</c:v>
                </c:pt>
                <c:pt idx="1">
                  <c:v>1196.67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146499424"/>
        <c:axId val="1146508128"/>
      </c:barChart>
      <c:catAx>
        <c:axId val="1146499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08128"/>
        <c:crosses val="autoZero"/>
        <c:auto val="1"/>
        <c:lblAlgn val="ctr"/>
        <c:lblOffset val="100"/>
        <c:noMultiLvlLbl val="0"/>
      </c:catAx>
      <c:valAx>
        <c:axId val="1146508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9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5308006817873"/>
          <c:y val="0.245443919510061"/>
          <c:w val="0.210163440725288"/>
          <c:h val="0.150001049868766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国有产权</a:t>
            </a:r>
            <a:r>
              <a:rPr lang="en-US" altLang="zh-CN"/>
              <a:t>2023</a:t>
            </a:r>
            <a:r>
              <a:rPr lang="zh-CN" altLang="en-US"/>
              <a:t>年第三季度与</a:t>
            </a:r>
            <a:r>
              <a:rPr lang="en-US" altLang="zh-CN"/>
              <a:t>2023</a:t>
            </a:r>
            <a:r>
              <a:rPr lang="zh-CN" altLang="en-US"/>
              <a:t>年第四季度</a:t>
            </a:r>
            <a:endParaRPr lang="en-US" altLang="zh-CN"/>
          </a:p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对比图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2023年第三季度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交易项目（宗）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0.0029</c:v>
                </c:pt>
                <c:pt idx="1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2023年第四季度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交易项目（宗）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2.03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146515744"/>
        <c:axId val="1146509760"/>
      </c:barChart>
      <c:catAx>
        <c:axId val="1146515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09760"/>
        <c:crosses val="autoZero"/>
        <c:auto val="1"/>
        <c:lblAlgn val="ctr"/>
        <c:lblOffset val="100"/>
        <c:noMultiLvlLbl val="0"/>
      </c:catAx>
      <c:valAx>
        <c:axId val="1146509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574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交易项目金额比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0375192279512381"/>
                  <c:y val="-0.086221525949411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256757178136162"/>
                  <c:y val="-0.0166171914087215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2880732238886"/>
                  <c:y val="0.021913448057695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209352228296885"/>
                  <c:y val="-0.016613664289514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土地使用权</c:v>
                </c:pt>
                <c:pt idx="1">
                  <c:v>政府集中采购</c:v>
                </c:pt>
                <c:pt idx="2">
                  <c:v>建设工程</c:v>
                </c:pt>
                <c:pt idx="3">
                  <c:v>国有产权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18.93</c:v>
                </c:pt>
                <c:pt idx="1" c:formatCode="#,##0.00">
                  <c:v>1.24</c:v>
                </c:pt>
                <c:pt idx="2" c:formatCode="#,##0.00">
                  <c:v>68.35</c:v>
                </c:pt>
                <c:pt idx="3">
                  <c:v>2.03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/>
              <a:t>交易项目</a:t>
            </a:r>
            <a:r>
              <a:rPr lang="zh-CN" altLang="zh-CN" sz="1400" b="0" i="0" u="none" strike="noStrike" baseline="0">
                <a:effectLst/>
              </a:rPr>
              <a:t>宗数</a:t>
            </a:r>
            <a:r>
              <a:rPr lang="zh-CN"/>
              <a:t>比</a:t>
            </a:r>
            <a:endParaRPr lang="zh-CN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交易项目宗数比</c:v>
                </c:pt>
              </c:strCache>
            </c:strRef>
          </c:tx>
          <c:spPr>
            <a:effectLst>
              <a:softEdge rad="25400"/>
            </a:effectLst>
          </c:spPr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>
                <a:softEdge rad="25400"/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>
                <a:softEdge rad="25400"/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>
                <a:softEdge rad="25400"/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>
                <a:softEdge rad="25400"/>
              </a:effectLst>
            </c:spPr>
          </c:dPt>
          <c:dLbls>
            <c:dLbl>
              <c:idx val="0"/>
              <c:layout>
                <c:manualLayout>
                  <c:x val="0.106662222848247"/>
                  <c:y val="-0.12909335668722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076316036750601"/>
                  <c:y val="-0.052632417236772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506070430891346"/>
                  <c:y val="0.0899717817307384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71529422275212"/>
                  <c:y val="-0.15302498058851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土地使用权</c:v>
                </c:pt>
                <c:pt idx="1">
                  <c:v>政府集中采购</c:v>
                </c:pt>
                <c:pt idx="2">
                  <c:v>建设工程</c:v>
                </c:pt>
                <c:pt idx="3">
                  <c:v>国有产权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16</c:v>
                </c:pt>
                <c:pt idx="1">
                  <c:v>36</c:v>
                </c:pt>
                <c:pt idx="2">
                  <c:v>168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zh-CN" altLang="en-US"/>
              <a:t>建设工程</a:t>
            </a:r>
            <a:r>
              <a:rPr lang="en-US" altLang="zh-CN"/>
              <a:t>2023</a:t>
            </a:r>
            <a:r>
              <a:rPr lang="zh-CN" altLang="en-US"/>
              <a:t>年第三季度与</a:t>
            </a:r>
            <a:r>
              <a:rPr lang="en-US" altLang="zh-CN"/>
              <a:t>2023</a:t>
            </a:r>
            <a:r>
              <a:rPr lang="zh-CN" altLang="en-US"/>
              <a:t>年第四季度对比图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2023年第三季度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交易项目（宗）</c:v>
                </c:pt>
              </c:strCache>
            </c:strRef>
          </c:cat>
          <c:val>
            <c:numRef>
              <c:f>Sheet1!$B$2:$B$3</c:f>
              <c:numCache>
                <c:formatCode>#,##0.00</c:formatCode>
                <c:ptCount val="2"/>
                <c:pt idx="0">
                  <c:v>40.9471765582</c:v>
                </c:pt>
                <c:pt idx="1" c:formatCode="General">
                  <c:v>123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2023年第四季度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交易项目（宗）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68.35</c:v>
                </c:pt>
                <c:pt idx="1">
                  <c:v>168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7974288"/>
        <c:axId val="1227975920"/>
      </c:barChart>
      <c:catAx>
        <c:axId val="1227974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75920"/>
        <c:crosses val="autoZero"/>
        <c:auto val="1"/>
        <c:lblAlgn val="ctr"/>
        <c:lblOffset val="100"/>
        <c:noMultiLvlLbl val="0"/>
      </c:catAx>
      <c:valAx>
        <c:axId val="1227975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74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845850340136054"/>
          <c:y val="0.0854928017718716"/>
          <c:w val="0.141224489795918"/>
          <c:h val="0.344629014396456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交易类别项目分布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760436314282"/>
          <c:y val="0.177450980392157"/>
          <c:w val="0.784790874524715"/>
          <c:h val="0.75882352941176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交易项目宗数比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0517162627398848"/>
                  <c:y val="0.09590142420722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42205406142414"/>
                      <c:h val="0.202828621832107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"/>
                  <c:y val="0.19986790585603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420785804816223"/>
                      <c:h val="0.199754901960784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.0238779243503653"/>
                  <c:y val="0.10936749709565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8694594993808"/>
                      <c:h val="0.182858310743944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010618445421595"/>
                  <c:y val="0.13623015360784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8694550063371"/>
                      <c:h val="0.183259996912151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交通工程</c:v>
                </c:pt>
                <c:pt idx="1">
                  <c:v>房建</c:v>
                </c:pt>
                <c:pt idx="2">
                  <c:v>市政</c:v>
                </c:pt>
                <c:pt idx="3">
                  <c:v>其他项目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21</c:v>
                </c:pt>
                <c:pt idx="1">
                  <c:v>69</c:v>
                </c:pt>
                <c:pt idx="2">
                  <c:v>52</c:v>
                </c:pt>
                <c:pt idx="3">
                  <c:v>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交易类别金额比</a:t>
            </a:r>
            <a:endParaRPr lang="zh-CN" altLang="en-US"/>
          </a:p>
        </c:rich>
      </c:tx>
      <c:layout>
        <c:manualLayout>
          <c:xMode val="edge"/>
          <c:yMode val="edge"/>
          <c:x val="0.227703470399533"/>
          <c:y val="0.03319502074688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760436314282"/>
          <c:y val="0.177450980392157"/>
          <c:w val="0.784790874524715"/>
          <c:h val="0.75882352941176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交易项目金额比</c:v>
                </c:pt>
              </c:strCache>
            </c:strRef>
          </c:tx>
          <c:spPr/>
          <c:explosion val="4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explosion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explosion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explosion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091856517935258"/>
                  <c:y val="0.0918395140965232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59983202099738"/>
                      <c:h val="0.225774931660513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2.33304170420685e-7"/>
                  <c:y val="-0.000160566410312135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420785804816223"/>
                      <c:h val="0.199754901960784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.0448107319918344"/>
                  <c:y val="0.104726645749798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8694546515019"/>
                      <c:h val="0.205532503457815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0320979877515311"/>
                  <c:y val="0.10696630118054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8694550063371"/>
                      <c:h val="0.183259996912151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交通工程</c:v>
                </c:pt>
                <c:pt idx="1">
                  <c:v>房建</c:v>
                </c:pt>
                <c:pt idx="2">
                  <c:v>市政</c:v>
                </c:pt>
                <c:pt idx="3">
                  <c:v>其他项目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10.31</c:v>
                </c:pt>
                <c:pt idx="1">
                  <c:v>43.85</c:v>
                </c:pt>
                <c:pt idx="2">
                  <c:v>8.64</c:v>
                </c:pt>
                <c:pt idx="3" c:formatCode="#,##0.00">
                  <c:v>5.52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全市建设工程项目区域分布</a:t>
            </a:r>
            <a:endParaRPr lang="zh-CN" altLang="en-US"/>
          </a:p>
        </c:rich>
      </c:tx>
      <c:layout>
        <c:manualLayout>
          <c:xMode val="edge"/>
          <c:yMode val="edge"/>
          <c:x val="0.255289231622967"/>
          <c:y val="0.0041245617653124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760436314282"/>
          <c:y val="0.177450980392157"/>
          <c:w val="0.784790874524715"/>
          <c:h val="0.75882352941176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全市建设工程项目区域分布
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139532798818511"/>
                  <c:y val="0.103320109836755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42205406142414"/>
                      <c:h val="0.202828621832107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0.00238663484486884"/>
                  <c:y val="0.0420266862393902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420785804816223"/>
                      <c:h val="0.199754901960784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0586831391267724"/>
                  <c:y val="0.0064885578253694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8694594993808"/>
                      <c:h val="0.182858310743944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0282073929303"/>
                  <c:y val="-0.057420232761686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8694550063371"/>
                      <c:h val="0.183259996912151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0.0352229276127793"/>
                  <c:y val="-0.00106377968994353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02162010388881"/>
                      <c:h val="0.108067415474901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0149678990220304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195454228898069"/>
                  <c:y val="0.038902087125683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市本级</c:v>
                </c:pt>
                <c:pt idx="1">
                  <c:v>自流井区</c:v>
                </c:pt>
                <c:pt idx="2">
                  <c:v>沿滩区</c:v>
                </c:pt>
                <c:pt idx="3">
                  <c:v>大安区</c:v>
                </c:pt>
                <c:pt idx="4">
                  <c:v>贡井区</c:v>
                </c:pt>
                <c:pt idx="5">
                  <c:v>富顺县</c:v>
                </c:pt>
                <c:pt idx="6">
                  <c:v>荣县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34</c:v>
                </c:pt>
                <c:pt idx="1">
                  <c:v>20</c:v>
                </c:pt>
                <c:pt idx="2">
                  <c:v>20</c:v>
                </c:pt>
                <c:pt idx="3">
                  <c:v>24</c:v>
                </c:pt>
                <c:pt idx="4">
                  <c:v>9</c:v>
                </c:pt>
                <c:pt idx="5">
                  <c:v>22</c:v>
                </c:pt>
                <c:pt idx="6">
                  <c:v>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/>
              <a:t>全市建设工程项目区域金额比</a:t>
            </a:r>
            <a:endParaRPr lang="zh-CN"/>
          </a:p>
        </c:rich>
      </c:tx>
      <c:layout>
        <c:manualLayout>
          <c:xMode val="edge"/>
          <c:yMode val="edge"/>
          <c:x val="0.24096003689915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760436314282"/>
          <c:y val="0.177450980392157"/>
          <c:w val="0.784790874524715"/>
          <c:h val="0.75882352941176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全市建设工程项目区域金额比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0171174732865506"/>
                  <c:y val="0.024062228585063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502190887226962"/>
                  <c:y val="-0.0046591267000715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2270505935712"/>
                  <c:y val="-0.0069421140539251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273378798361502"/>
                  <c:y val="0.032799427344309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70824410547008"/>
                  <c:y val="0.031474302075876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0376393327403115"/>
                  <c:y val="0.0096660462896683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0102691661450269"/>
                  <c:y val="0.033482796468623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市本级</c:v>
                </c:pt>
                <c:pt idx="1">
                  <c:v>自流井区</c:v>
                </c:pt>
                <c:pt idx="2">
                  <c:v>沿滩区</c:v>
                </c:pt>
                <c:pt idx="3">
                  <c:v>大安区</c:v>
                </c:pt>
                <c:pt idx="4">
                  <c:v>贡井区</c:v>
                </c:pt>
                <c:pt idx="5">
                  <c:v>富顺县</c:v>
                </c:pt>
                <c:pt idx="6">
                  <c:v>荣县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13.21</c:v>
                </c:pt>
                <c:pt idx="1">
                  <c:v>9.96</c:v>
                </c:pt>
                <c:pt idx="2">
                  <c:v>3.99</c:v>
                </c:pt>
                <c:pt idx="3">
                  <c:v>18.41</c:v>
                </c:pt>
                <c:pt idx="4">
                  <c:v>1.24</c:v>
                </c:pt>
                <c:pt idx="5">
                  <c:v>4.15</c:v>
                </c:pt>
                <c:pt idx="6">
                  <c:v>17.39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6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黑体" panose="02010609060101010101" charset="-122"/>
                <a:ea typeface="黑体" panose="02010609060101010101" charset="-122"/>
                <a:cs typeface="+mn-cs"/>
              </a:rPr>
              <a:t>政府集中采购</a:t>
            </a:r>
            <a:r>
              <a:rPr lang="en-US" b="0">
                <a:latin typeface="黑体" panose="02010609060101010101" charset="-122"/>
                <a:ea typeface="黑体" panose="02010609060101010101" charset="-122"/>
              </a:rPr>
              <a:t>2023</a:t>
            </a:r>
            <a:r>
              <a:rPr lang="zh-CN" b="0">
                <a:latin typeface="黑体" panose="02010609060101010101" charset="-122"/>
                <a:ea typeface="黑体" panose="02010609060101010101" charset="-122"/>
              </a:rPr>
              <a:t>年第三季度</a:t>
            </a: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与</a:t>
            </a:r>
            <a:r>
              <a:rPr lang="en-US" altLang="zh-CN" b="0">
                <a:latin typeface="黑体" panose="02010609060101010101" charset="-122"/>
                <a:ea typeface="黑体" panose="02010609060101010101" charset="-122"/>
              </a:rPr>
              <a:t>2023</a:t>
            </a: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年第四季度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b="0">
                <a:latin typeface="黑体" panose="02010609060101010101" charset="-122"/>
                <a:ea typeface="黑体" panose="02010609060101010101" charset="-122"/>
              </a:rPr>
              <a:t>对比图</a:t>
            </a:r>
            <a:endParaRPr 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2023年第三季度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项目数(宗)</c:v>
                </c:pt>
                <c:pt idx="1">
                  <c:v>交易额(亿元)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32</c:v>
                </c:pt>
                <c:pt idx="1" c:formatCode="#,##0.00">
                  <c:v>0.56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2023年第四季度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项目数(宗)</c:v>
                </c:pt>
                <c:pt idx="1">
                  <c:v>交易额(亿元)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36</c:v>
                </c:pt>
                <c:pt idx="1" c:formatCode="#,##0.00">
                  <c:v>1.24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146502144"/>
        <c:axId val="1146511936"/>
      </c:barChart>
      <c:catAx>
        <c:axId val="11465021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1936"/>
        <c:crosses val="autoZero"/>
        <c:auto val="1"/>
        <c:lblAlgn val="ctr"/>
        <c:lblOffset val="100"/>
        <c:noMultiLvlLbl val="0"/>
      </c:catAx>
      <c:valAx>
        <c:axId val="114651193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02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33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50000"/>
            <a:lumOff val="50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4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bg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3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50000"/>
            <a:lumOff val="50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4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3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50000"/>
            <a:lumOff val="50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4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E54C8-02FB-430C-A6DF-F3F88EFB12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1011</Words>
  <Characters>1457</Characters>
  <Lines>6</Lines>
  <Paragraphs>4</Paragraphs>
  <TotalTime>2</TotalTime>
  <ScaleCrop>false</ScaleCrop>
  <LinksUpToDate>false</LinksUpToDate>
  <CharactersWithSpaces>1467</CharactersWithSpaces>
  <Application>WPS Office_12.1.0.16417_F1E327BC-269C-435d-A152-05C5408002CA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2023-04-14T01:49:00Z</dcterms:created>
  <dc:creator>邓斌</dc:creator>
  <cp:lastModifiedBy>老贺</cp:lastModifiedBy>
  <dcterms:modified xsi:type="dcterms:W3CDTF">2024-04-24T08:53:42Z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3DED58CDF3DC460C9D4809692FF79477_13</vt:lpwstr>
  </property>
</Properties>
</file>