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微软雅黑" w:eastAsia="方正小标宋简体"/>
          <w:sz w:val="44"/>
          <w:szCs w:val="44"/>
        </w:rPr>
        <w:t>年第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微软雅黑" w:eastAsia="方正小标宋简体"/>
          <w:sz w:val="44"/>
          <w:szCs w:val="44"/>
        </w:rPr>
        <w:t>季度交易数据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2023年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第二</w:t>
      </w:r>
      <w:r>
        <w:rPr>
          <w:rFonts w:hint="eastAsia" w:ascii="方正小标宋简体" w:hAnsi="仿宋" w:eastAsia="方正小标宋简体"/>
          <w:sz w:val="44"/>
          <w:szCs w:val="44"/>
        </w:rPr>
        <w:t>季度交易数据统计分析报告</w:t>
      </w:r>
      <w:bookmarkStart w:id="0" w:name="_Toc72240300"/>
    </w:p>
    <w:p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</w:t>
      </w:r>
      <w:r>
        <w:rPr>
          <w:rFonts w:hint="eastAsia" w:ascii="仿宋_GB2312" w:hAnsi="仿宋" w:eastAsia="仿宋_GB2312"/>
          <w:sz w:val="32"/>
          <w:szCs w:val="32"/>
        </w:rPr>
        <w:t>季度全市完成公共资源交易项目（含工程建设、政府集中采购、土地出让、产权交易）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129</w:t>
      </w:r>
      <w:r>
        <w:rPr>
          <w:rFonts w:hint="eastAsia" w:ascii="仿宋_GB2312" w:hAnsi="仿宋" w:eastAsia="仿宋_GB2312"/>
          <w:sz w:val="32"/>
          <w:szCs w:val="32"/>
        </w:rPr>
        <w:t>宗，与202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季度相比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上升14</w:t>
      </w:r>
      <w:r>
        <w:rPr>
          <w:rFonts w:hint="eastAsia" w:ascii="仿宋_GB2312" w:hAnsi="仿宋" w:eastAsia="仿宋_GB2312"/>
          <w:sz w:val="32"/>
          <w:szCs w:val="32"/>
        </w:rPr>
        <w:t>%；交易总额357707.57671万元，与202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季度相比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下降7.03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35805" cy="3253740"/>
            <wp:effectExtent l="0" t="0" r="17145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（二）项目分布（不含政府集中采购电子卖场数据）。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113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63.84</w:t>
      </w:r>
      <w:r>
        <w:rPr>
          <w:rFonts w:hint="eastAsia" w:ascii="仿宋_GB2312" w:hAnsi="仿宋" w:eastAsia="仿宋_GB2312"/>
          <w:sz w:val="32"/>
          <w:szCs w:val="32"/>
        </w:rPr>
        <w:t>%）高于其他行业；在交易金额方面，建设工程项目以232468.538987万元（占比64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98%）成为全市交易主要行业。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85725</wp:posOffset>
            </wp:positionV>
            <wp:extent cx="2505075" cy="2590800"/>
            <wp:effectExtent l="0" t="0" r="9525" b="0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390775" cy="2600325"/>
            <wp:effectExtent l="0" t="0" r="9525" b="9525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9"/>
        <w:tblW w:w="52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297"/>
        <w:gridCol w:w="2137"/>
        <w:gridCol w:w="1816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bookmarkStart w:id="1" w:name="_Toc72240301"/>
            <w:r>
              <w:rPr>
                <w:rFonts w:hint="eastAsia" w:ascii="仿宋" w:hAnsi="仿宋" w:eastAsia="仿宋"/>
                <w:sz w:val="32"/>
                <w:szCs w:val="32"/>
              </w:rPr>
              <w:t>分  类</w:t>
            </w:r>
          </w:p>
        </w:tc>
        <w:tc>
          <w:tcPr>
            <w:tcW w:w="1293" w:type="pct"/>
            <w:vAlign w:val="top"/>
          </w:tcPr>
          <w:p>
            <w:pPr>
              <w:spacing w:line="480" w:lineRule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建设工程</w:t>
            </w:r>
          </w:p>
        </w:tc>
        <w:tc>
          <w:tcPr>
            <w:tcW w:w="1203" w:type="pct"/>
            <w:vAlign w:val="top"/>
          </w:tcPr>
          <w:p>
            <w:pPr>
              <w:spacing w:line="480" w:lineRule="auto"/>
              <w:rPr>
                <w:rFonts w:hint="eastAsia" w:ascii="仿宋" w:hAnsi="仿宋" w:eastAsia="仿宋" w:cstheme="minorBidi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政府集中采购</w:t>
            </w:r>
          </w:p>
        </w:tc>
        <w:tc>
          <w:tcPr>
            <w:tcW w:w="1022" w:type="pct"/>
            <w:vAlign w:val="top"/>
          </w:tcPr>
          <w:p>
            <w:pPr>
              <w:spacing w:line="480" w:lineRule="auto"/>
              <w:rPr>
                <w:rFonts w:hint="eastAsia" w:ascii="仿宋" w:hAnsi="仿宋" w:eastAsia="仿宋" w:cstheme="minorBidi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土地使用权</w:t>
            </w:r>
          </w:p>
        </w:tc>
        <w:tc>
          <w:tcPr>
            <w:tcW w:w="932" w:type="pct"/>
            <w:vAlign w:val="top"/>
          </w:tcPr>
          <w:p>
            <w:pPr>
              <w:spacing w:line="480" w:lineRule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国有产权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数量(</w:t>
            </w:r>
            <w:r>
              <w:rPr>
                <w:rFonts w:ascii="仿宋" w:hAnsi="仿宋" w:eastAsia="仿宋"/>
                <w:sz w:val="32"/>
                <w:szCs w:val="32"/>
              </w:rPr>
              <w:t>宗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)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金额(</w:t>
            </w:r>
            <w:r>
              <w:rPr>
                <w:rFonts w:ascii="仿宋" w:hAnsi="仿宋" w:eastAsia="仿宋"/>
                <w:spacing w:val="-20"/>
                <w:sz w:val="32"/>
                <w:szCs w:val="32"/>
              </w:rPr>
              <w:t>万元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)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232468.538987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66337.5</w:t>
            </w:r>
            <w:bookmarkStart w:id="5" w:name="_GoBack"/>
            <w:bookmarkEnd w:id="5"/>
            <w:r>
              <w:rPr>
                <w:rFonts w:hint="eastAsia" w:ascii="仿宋_GB2312" w:hAnsi="仿宋" w:eastAsia="仿宋_GB2312"/>
                <w:sz w:val="32"/>
                <w:szCs w:val="32"/>
              </w:rPr>
              <w:t>94123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58847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8236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53.62</w:t>
            </w:r>
          </w:p>
        </w:tc>
      </w:tr>
    </w:tbl>
    <w:p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</w:t>
      </w:r>
      <w:r>
        <w:rPr>
          <w:rFonts w:hint="eastAsia" w:ascii="仿宋_GB2312" w:hAnsi="仿宋" w:eastAsia="仿宋_GB2312"/>
          <w:sz w:val="32"/>
          <w:szCs w:val="32"/>
        </w:rPr>
        <w:t>季度全市累计完成工程建设项目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113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上升20.21</w:t>
      </w:r>
      <w:r>
        <w:rPr>
          <w:rFonts w:hint="eastAsia" w:ascii="仿宋_GB2312" w:hAnsi="仿宋" w:eastAsia="仿宋_GB2312"/>
          <w:sz w:val="32"/>
          <w:szCs w:val="32"/>
        </w:rPr>
        <w:t>%；交易金额232468.538987万元，环比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上升20.35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67250" cy="2867025"/>
            <wp:effectExtent l="4445" t="5080" r="6985" b="825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923925</wp:posOffset>
            </wp:positionV>
            <wp:extent cx="2200275" cy="2324100"/>
            <wp:effectExtent l="0" t="0" r="9525" b="0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1.在类别分布上，房建、市政项目在工程建设项目中处于优势。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204470</wp:posOffset>
            </wp:positionV>
            <wp:extent cx="2143125" cy="2235835"/>
            <wp:effectExtent l="0" t="0" r="9525" b="1206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67"/>
        <w:gridCol w:w="1967"/>
        <w:gridCol w:w="1967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  类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房  建</w:t>
            </w:r>
          </w:p>
        </w:tc>
        <w:tc>
          <w:tcPr>
            <w:tcW w:w="1559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  政</w:t>
            </w:r>
          </w:p>
        </w:tc>
        <w:tc>
          <w:tcPr>
            <w:tcW w:w="1517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交通工程</w:t>
            </w: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数量(</w:t>
            </w:r>
            <w:r>
              <w:rPr>
                <w:rFonts w:ascii="仿宋" w:hAnsi="仿宋" w:eastAsia="仿宋"/>
                <w:sz w:val="32"/>
                <w:szCs w:val="32"/>
              </w:rPr>
              <w:t>宗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49</w:t>
            </w:r>
          </w:p>
        </w:tc>
        <w:tc>
          <w:tcPr>
            <w:tcW w:w="1559" w:type="dxa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517" w:type="dxa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-34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34"/>
                <w:sz w:val="32"/>
                <w:szCs w:val="32"/>
              </w:rPr>
              <w:t>金额（万元）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76549.173627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99568.290789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48985.431271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7365.643300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2.在区域分布上，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自贡市本级</w:t>
      </w:r>
      <w:r>
        <w:rPr>
          <w:rFonts w:hint="eastAsia" w:ascii="仿宋_GB2312" w:hAnsi="仿宋" w:eastAsia="仿宋_GB2312"/>
          <w:sz w:val="32"/>
          <w:szCs w:val="32"/>
        </w:rPr>
        <w:t>以交易项目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23.89</w:t>
      </w:r>
      <w:r>
        <w:rPr>
          <w:rFonts w:hint="eastAsia" w:ascii="仿宋_GB2312" w:hAnsi="仿宋" w:eastAsia="仿宋_GB2312"/>
          <w:sz w:val="32"/>
          <w:szCs w:val="32"/>
        </w:rPr>
        <w:t>%）高居于其他区域，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" w:eastAsia="仿宋_GB2312"/>
          <w:sz w:val="32"/>
          <w:szCs w:val="32"/>
        </w:rPr>
        <w:t>以交易金额</w:t>
      </w:r>
      <w:r>
        <w:rPr>
          <w:rFonts w:hint="eastAsia" w:ascii="仿宋" w:hAnsi="仿宋" w:eastAsia="仿宋"/>
          <w:sz w:val="32"/>
          <w:szCs w:val="32"/>
        </w:rPr>
        <w:t>72787.397579</w:t>
      </w:r>
      <w:r>
        <w:rPr>
          <w:rFonts w:hint="eastAsia" w:ascii="仿宋_GB2312" w:hAnsi="仿宋" w:eastAsia="仿宋_GB2312"/>
          <w:sz w:val="32"/>
          <w:szCs w:val="32"/>
        </w:rPr>
        <w:t>万元（占比31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31%）在全市工程建设项目中占主体地位。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drawing>
          <wp:inline distT="0" distB="0" distL="0" distR="0">
            <wp:extent cx="4523105" cy="3079115"/>
            <wp:effectExtent l="0" t="0" r="10795" b="698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ind w:left="14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52950" cy="2619375"/>
            <wp:effectExtent l="0" t="0" r="0" b="952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ind w:left="142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242"/>
        <w:gridCol w:w="992"/>
        <w:gridCol w:w="1128"/>
        <w:gridCol w:w="1128"/>
        <w:gridCol w:w="974"/>
        <w:gridCol w:w="141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63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区  域</w:t>
            </w:r>
          </w:p>
        </w:tc>
        <w:tc>
          <w:tcPr>
            <w:tcW w:w="1242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市本级</w:t>
            </w:r>
          </w:p>
        </w:tc>
        <w:tc>
          <w:tcPr>
            <w:tcW w:w="992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自流井</w:t>
            </w:r>
          </w:p>
        </w:tc>
        <w:tc>
          <w:tcPr>
            <w:tcW w:w="112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沿滩</w:t>
            </w:r>
          </w:p>
        </w:tc>
        <w:tc>
          <w:tcPr>
            <w:tcW w:w="112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贡井</w:t>
            </w:r>
          </w:p>
        </w:tc>
        <w:tc>
          <w:tcPr>
            <w:tcW w:w="9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大安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荣县</w:t>
            </w:r>
          </w:p>
        </w:tc>
        <w:tc>
          <w:tcPr>
            <w:tcW w:w="992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富顺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36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项目数(</w:t>
            </w:r>
            <w:r>
              <w:rPr>
                <w:rFonts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宗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)</w:t>
            </w:r>
          </w:p>
        </w:tc>
        <w:tc>
          <w:tcPr>
            <w:tcW w:w="1242" w:type="dxa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992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28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28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974" w:type="dxa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992" w:type="dxa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48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48"/>
                <w:kern w:val="0"/>
                <w:sz w:val="26"/>
                <w:szCs w:val="26"/>
              </w:rPr>
              <w:t>金额（万元）</w:t>
            </w:r>
          </w:p>
        </w:tc>
        <w:tc>
          <w:tcPr>
            <w:tcW w:w="124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72787.397579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9514.756871</w:t>
            </w:r>
          </w:p>
        </w:tc>
        <w:tc>
          <w:tcPr>
            <w:tcW w:w="112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19931.912641</w:t>
            </w:r>
          </w:p>
        </w:tc>
        <w:tc>
          <w:tcPr>
            <w:tcW w:w="112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17439.755341</w:t>
            </w:r>
          </w:p>
        </w:tc>
        <w:tc>
          <w:tcPr>
            <w:tcW w:w="97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17885.930051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40649.533919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54259.252585</w:t>
            </w:r>
          </w:p>
        </w:tc>
      </w:tr>
    </w:tbl>
    <w:p>
      <w:pPr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3．在重大项目交易上，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</w:t>
      </w:r>
      <w:r>
        <w:rPr>
          <w:rFonts w:hint="eastAsia" w:ascii="仿宋_GB2312" w:hAnsi="仿宋" w:eastAsia="仿宋_GB2312"/>
          <w:sz w:val="32"/>
          <w:szCs w:val="32"/>
        </w:rPr>
        <w:t>季度全市累计完成总投资额5000万元以上的重大项目（含分标段交易）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宗，占比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10.61</w:t>
      </w:r>
      <w:r>
        <w:rPr>
          <w:rFonts w:hint="eastAsia" w:ascii="仿宋_GB2312" w:hAnsi="仿宋" w:eastAsia="仿宋_GB2312"/>
          <w:sz w:val="32"/>
          <w:szCs w:val="32"/>
        </w:rPr>
        <w:t>%；交易金额161147.700452万元，占比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69.32</w:t>
      </w:r>
      <w:r>
        <w:rPr>
          <w:rFonts w:hint="eastAsia" w:ascii="仿宋_GB2312" w:hAnsi="仿宋" w:eastAsia="仿宋_GB2312"/>
          <w:sz w:val="32"/>
          <w:szCs w:val="32"/>
        </w:rPr>
        <w:t>%，重大项目集中在房屋建筑和市政工程。</w:t>
      </w:r>
    </w:p>
    <w:p>
      <w:pPr>
        <w:spacing w:line="360" w:lineRule="auto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</w:t>
      </w:r>
      <w:r>
        <w:rPr>
          <w:rFonts w:hint="eastAsia" w:ascii="仿宋_GB2312" w:hAnsi="仿宋" w:eastAsia="仿宋_GB2312"/>
          <w:sz w:val="32"/>
          <w:szCs w:val="32"/>
        </w:rPr>
        <w:t>季度全市共完成政府集中采购项目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上升150%</w:t>
      </w:r>
      <w:r>
        <w:rPr>
          <w:rFonts w:hint="eastAsia" w:ascii="仿宋_GB2312" w:hAnsi="仿宋" w:eastAsia="仿宋_GB2312"/>
          <w:sz w:val="32"/>
          <w:szCs w:val="32"/>
        </w:rPr>
        <w:t>；交易金额61541.03634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万元，环比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上升7.79</w:t>
      </w:r>
      <w:r>
        <w:rPr>
          <w:rFonts w:hint="eastAsia" w:ascii="仿宋_GB2312" w:hAnsi="仿宋" w:eastAsia="仿宋_GB2312"/>
          <w:sz w:val="32"/>
          <w:szCs w:val="32"/>
        </w:rPr>
        <w:t>%.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1．在采购方式分布上，竞争性磋商以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宗在交易项目数量上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成交价为1563.7464万元；</w:t>
      </w:r>
      <w:r>
        <w:rPr>
          <w:rFonts w:hint="eastAsia" w:ascii="仿宋_GB2312" w:hAnsi="仿宋" w:eastAsia="仿宋_GB2312"/>
          <w:sz w:val="32"/>
          <w:szCs w:val="32"/>
        </w:rPr>
        <w:t>竞争性谈判成交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9宗，成交</w:t>
      </w:r>
      <w:r>
        <w:rPr>
          <w:rFonts w:hint="eastAsia" w:ascii="仿宋_GB2312" w:hAnsi="仿宋" w:eastAsia="仿宋_GB2312"/>
          <w:sz w:val="32"/>
          <w:szCs w:val="32"/>
        </w:rPr>
        <w:t>价为424.4216万元；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2宗，成交</w:t>
      </w:r>
      <w:r>
        <w:rPr>
          <w:rFonts w:hint="eastAsia" w:ascii="仿宋_GB2312" w:hAnsi="仿宋" w:eastAsia="仿宋_GB2312"/>
          <w:sz w:val="32"/>
          <w:szCs w:val="32"/>
        </w:rPr>
        <w:t>价为129.818万元；公开招标成交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宗，以64219.608123万元成交价成为交易金额最高的采购方式。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0795" b="10795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2．在行政区域分布上，市本级（省级预算单位）成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宗，成交价64781.100529万元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宗数、成交</w:t>
      </w:r>
      <w:r>
        <w:rPr>
          <w:rFonts w:hint="eastAsia" w:ascii="仿宋_GB2312" w:hAnsi="仿宋" w:eastAsia="仿宋_GB2312"/>
          <w:sz w:val="32"/>
          <w:szCs w:val="32"/>
        </w:rPr>
        <w:t>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荣县成交6宗，成交价754.649994万元；富顺县成交4宗，成交价为376.076万元；</w:t>
      </w:r>
      <w:r>
        <w:rPr>
          <w:rFonts w:hint="eastAsia" w:ascii="仿宋_GB2312" w:hAnsi="仿宋" w:eastAsia="仿宋_GB2312"/>
          <w:sz w:val="32"/>
          <w:szCs w:val="32"/>
        </w:rPr>
        <w:t>高新区成交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125.88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大安区成交2宗，成交价110.4141万元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沿滩区成交1宗，成交价33万元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自流井区成交2宗，成交价156.4735万元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0" name="图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widowControl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</w:t>
      </w:r>
      <w:r>
        <w:rPr>
          <w:rFonts w:hint="eastAsia" w:ascii="仿宋_GB2312" w:hAnsi="仿宋" w:eastAsia="仿宋_GB2312"/>
          <w:sz w:val="32"/>
          <w:szCs w:val="32"/>
        </w:rPr>
        <w:t>季度共完成土地使用权出让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上升38.88</w:t>
      </w:r>
      <w:r>
        <w:rPr>
          <w:rFonts w:hint="eastAsia" w:ascii="仿宋_GB2312" w:hAnsi="仿宋" w:eastAsia="仿宋_GB2312"/>
          <w:sz w:val="32"/>
          <w:szCs w:val="32"/>
        </w:rPr>
        <w:t>%；出让土地总面积1719.15492亩，环比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上升1.3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成交金额58847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8236万元，</w:t>
      </w:r>
    </w:p>
    <w:p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下降34.71</w:t>
      </w:r>
      <w:r>
        <w:rPr>
          <w:rFonts w:hint="eastAsia" w:ascii="仿宋_GB2312" w:hAnsi="仿宋" w:eastAsia="仿宋_GB2312"/>
          <w:sz w:val="32"/>
          <w:szCs w:val="32"/>
        </w:rPr>
        <w:t>%；溢价9,562.4992万元，溢价率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16.24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781550" cy="2857500"/>
            <wp:effectExtent l="0" t="0" r="0" b="0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在土地用途上，</w:t>
      </w:r>
      <w:bookmarkStart w:id="4" w:name="_Hlk74839656"/>
      <w:r>
        <w:rPr>
          <w:rFonts w:hint="eastAsia" w:ascii="仿宋_GB2312" w:hAnsi="仿宋" w:eastAsia="仿宋_GB2312"/>
          <w:sz w:val="32"/>
          <w:szCs w:val="32"/>
          <w:lang w:eastAsia="zh-CN"/>
        </w:rPr>
        <w:t>第二</w:t>
      </w:r>
      <w:r>
        <w:rPr>
          <w:rFonts w:hint="eastAsia" w:ascii="仿宋_GB2312" w:hAnsi="仿宋" w:eastAsia="仿宋_GB2312"/>
          <w:sz w:val="32"/>
          <w:szCs w:val="32"/>
        </w:rPr>
        <w:t>季度工业用地面积面积最多为1405.78644亩</w:t>
      </w:r>
      <w:bookmarkEnd w:id="4"/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经营性用地</w:t>
      </w:r>
      <w:r>
        <w:rPr>
          <w:rFonts w:hint="eastAsia" w:ascii="仿宋_GB2312" w:hAnsi="仿宋" w:eastAsia="仿宋_GB2312"/>
          <w:sz w:val="32"/>
          <w:szCs w:val="32"/>
        </w:rPr>
        <w:t>面积为313.36848亩，经营性用地成交金额最大为50074.68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万元，工业用地成交14008.3316万元。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76775" cy="2847975"/>
            <wp:effectExtent l="0" t="0" r="9525" b="9525"/>
            <wp:docPr id="17" name="图表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76775" cy="2847975"/>
            <wp:effectExtent l="0" t="0" r="9525" b="9525"/>
            <wp:docPr id="18" name="图表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国有产权。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</w:t>
      </w:r>
      <w:r>
        <w:rPr>
          <w:rFonts w:hint="eastAsia" w:ascii="仿宋_GB2312" w:hAnsi="仿宋" w:eastAsia="仿宋_GB2312"/>
          <w:sz w:val="32"/>
          <w:szCs w:val="32"/>
        </w:rPr>
        <w:t>季度全市产权类项目入场交易累计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上升33%</w:t>
      </w:r>
      <w:r>
        <w:rPr>
          <w:rFonts w:hint="eastAsia" w:ascii="仿宋_GB2312" w:hAnsi="仿宋" w:eastAsia="仿宋_GB2312"/>
          <w:sz w:val="32"/>
          <w:szCs w:val="32"/>
        </w:rPr>
        <w:t>；其中市本级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宗。项目交易额53.62万元，增值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25.38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numPr>
          <w:ilvl w:val="0"/>
          <w:numId w:val="0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38675" cy="3360420"/>
            <wp:effectExtent l="0" t="0" r="9525" b="11430"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2211A"/>
    <w:multiLevelType w:val="singleLevel"/>
    <w:tmpl w:val="E642211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27E2A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2B5AAA"/>
    <w:rsid w:val="01C42B8B"/>
    <w:rsid w:val="0243433D"/>
    <w:rsid w:val="0275224B"/>
    <w:rsid w:val="030959A0"/>
    <w:rsid w:val="03B07824"/>
    <w:rsid w:val="077C00F5"/>
    <w:rsid w:val="0AFF7B67"/>
    <w:rsid w:val="0DC0757C"/>
    <w:rsid w:val="0DC56929"/>
    <w:rsid w:val="0E771481"/>
    <w:rsid w:val="0EB46846"/>
    <w:rsid w:val="124473D0"/>
    <w:rsid w:val="12CC7AF2"/>
    <w:rsid w:val="138E5603"/>
    <w:rsid w:val="13CC1D73"/>
    <w:rsid w:val="140D6614"/>
    <w:rsid w:val="162437A1"/>
    <w:rsid w:val="165006DF"/>
    <w:rsid w:val="16C64858"/>
    <w:rsid w:val="175D1BF5"/>
    <w:rsid w:val="176E71E5"/>
    <w:rsid w:val="1BDA048E"/>
    <w:rsid w:val="1C096F2E"/>
    <w:rsid w:val="1C2D254D"/>
    <w:rsid w:val="1CC006D5"/>
    <w:rsid w:val="1D7D71A6"/>
    <w:rsid w:val="1DF2140B"/>
    <w:rsid w:val="1E591BA3"/>
    <w:rsid w:val="1F6A67BE"/>
    <w:rsid w:val="20903977"/>
    <w:rsid w:val="2203697F"/>
    <w:rsid w:val="22591B33"/>
    <w:rsid w:val="2292522B"/>
    <w:rsid w:val="229D0C0C"/>
    <w:rsid w:val="23843155"/>
    <w:rsid w:val="23E944F0"/>
    <w:rsid w:val="244F7A97"/>
    <w:rsid w:val="24A73F1B"/>
    <w:rsid w:val="27911A4D"/>
    <w:rsid w:val="28197DF3"/>
    <w:rsid w:val="285A3310"/>
    <w:rsid w:val="29361D11"/>
    <w:rsid w:val="29BD6D49"/>
    <w:rsid w:val="2A566214"/>
    <w:rsid w:val="2B51698E"/>
    <w:rsid w:val="2C5C66F6"/>
    <w:rsid w:val="2DAF544A"/>
    <w:rsid w:val="2FF3270A"/>
    <w:rsid w:val="302C20AC"/>
    <w:rsid w:val="324B4A69"/>
    <w:rsid w:val="34A21B2F"/>
    <w:rsid w:val="357C76A0"/>
    <w:rsid w:val="35BF6BEA"/>
    <w:rsid w:val="35E6061B"/>
    <w:rsid w:val="36C1778B"/>
    <w:rsid w:val="39EF6808"/>
    <w:rsid w:val="3CA16B81"/>
    <w:rsid w:val="3CF1348B"/>
    <w:rsid w:val="3F2A5652"/>
    <w:rsid w:val="3F8D1DF7"/>
    <w:rsid w:val="40976E87"/>
    <w:rsid w:val="40A6100C"/>
    <w:rsid w:val="42D542C2"/>
    <w:rsid w:val="43537473"/>
    <w:rsid w:val="43BC29BB"/>
    <w:rsid w:val="449B55D0"/>
    <w:rsid w:val="451630CA"/>
    <w:rsid w:val="456F75B7"/>
    <w:rsid w:val="46031658"/>
    <w:rsid w:val="49381995"/>
    <w:rsid w:val="494C01F4"/>
    <w:rsid w:val="49711986"/>
    <w:rsid w:val="49F91B62"/>
    <w:rsid w:val="4CA20757"/>
    <w:rsid w:val="4CB5339B"/>
    <w:rsid w:val="4CD74010"/>
    <w:rsid w:val="4D913251"/>
    <w:rsid w:val="4FF27E90"/>
    <w:rsid w:val="50D50306"/>
    <w:rsid w:val="51E657D3"/>
    <w:rsid w:val="533A3AC2"/>
    <w:rsid w:val="53716D24"/>
    <w:rsid w:val="55084428"/>
    <w:rsid w:val="55466588"/>
    <w:rsid w:val="57CC0ADA"/>
    <w:rsid w:val="5B8A2054"/>
    <w:rsid w:val="5DE476E4"/>
    <w:rsid w:val="5EB442E0"/>
    <w:rsid w:val="624F6EEF"/>
    <w:rsid w:val="62EE327E"/>
    <w:rsid w:val="630A4AC2"/>
    <w:rsid w:val="641D0D49"/>
    <w:rsid w:val="66641213"/>
    <w:rsid w:val="671F0D5B"/>
    <w:rsid w:val="68235A1D"/>
    <w:rsid w:val="68656A71"/>
    <w:rsid w:val="6A303B47"/>
    <w:rsid w:val="6A987F7C"/>
    <w:rsid w:val="6AF755A5"/>
    <w:rsid w:val="6B737754"/>
    <w:rsid w:val="6BB55589"/>
    <w:rsid w:val="6CB947C1"/>
    <w:rsid w:val="6D1871B2"/>
    <w:rsid w:val="6D3564FB"/>
    <w:rsid w:val="6D643A97"/>
    <w:rsid w:val="6F0D3BBF"/>
    <w:rsid w:val="6F3C6A8F"/>
    <w:rsid w:val="6F901C8B"/>
    <w:rsid w:val="70832F22"/>
    <w:rsid w:val="759A30E2"/>
    <w:rsid w:val="75BE094C"/>
    <w:rsid w:val="76C375E1"/>
    <w:rsid w:val="787053ED"/>
    <w:rsid w:val="78EB4D7D"/>
    <w:rsid w:val="79D8521D"/>
    <w:rsid w:val="7AE00762"/>
    <w:rsid w:val="7B9854E0"/>
    <w:rsid w:val="7D7F24B4"/>
    <w:rsid w:val="7F852613"/>
    <w:rsid w:val="7F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b/>
      <w:bCs/>
    </w:rPr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Typewriter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semiHidden/>
    <w:unhideWhenUsed/>
    <w:qFormat/>
    <w:uiPriority w:val="99"/>
  </w:style>
  <w:style w:type="character" w:styleId="17">
    <w:name w:val="HTML Variable"/>
    <w:basedOn w:val="10"/>
    <w:semiHidden/>
    <w:unhideWhenUsed/>
    <w:qFormat/>
    <w:uiPriority w:val="99"/>
  </w:style>
  <w:style w:type="character" w:styleId="18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semiHidden/>
    <w:unhideWhenUsed/>
    <w:qFormat/>
    <w:uiPriority w:val="99"/>
  </w:style>
  <w:style w:type="character" w:styleId="21">
    <w:name w:val="HTML Keyboard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chart" Target="charts/chart17.xml"/><Relationship Id="rId2" Type="http://schemas.openxmlformats.org/officeDocument/2006/relationships/settings" Target="settings.xml"/><Relationship Id="rId19" Type="http://schemas.openxmlformats.org/officeDocument/2006/relationships/chart" Target="charts/chart16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package" Target="../embeddings/Workbook16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0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package" Target="../embeddings/Workbook1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2022</a:t>
            </a:r>
            <a:r>
              <a:rPr lang="zh-CN" altLang="en-US"/>
              <a:t>年第四季度与</a:t>
            </a:r>
            <a:r>
              <a:rPr lang="en-US" altLang="zh-CN"/>
              <a:t>2023</a:t>
            </a:r>
            <a:r>
              <a:rPr lang="zh-CN" altLang="en-US"/>
              <a:t>年第一季度交易总数对比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2023年第二季度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113</c:v>
                </c:pt>
                <c:pt idx="1">
                  <c:v>35.770757671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2023年第一季度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129</c:v>
                </c:pt>
                <c:pt idx="1">
                  <c:v>38.475248914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957424"/>
        <c:axId val="1227966128"/>
      </c:barChart>
      <c:catAx>
        <c:axId val="122795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66128"/>
        <c:crosses val="autoZero"/>
        <c:auto val="1"/>
        <c:lblAlgn val="ctr"/>
        <c:lblOffset val="100"/>
        <c:noMultiLvlLbl val="0"/>
      </c:catAx>
      <c:valAx>
        <c:axId val="12279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5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dist"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</c:v>
                </c:pt>
                <c:pt idx="1">
                  <c:v>15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64219.608123</c:v>
                </c:pt>
                <c:pt idx="1">
                  <c:v>1563.7464</c:v>
                </c:pt>
                <c:pt idx="2">
                  <c:v>424.4216</c:v>
                </c:pt>
                <c:pt idx="3">
                  <c:v>129.818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高新区</c:v>
                </c:pt>
                <c:pt idx="2">
                  <c:v>荣县</c:v>
                </c:pt>
                <c:pt idx="3">
                  <c:v>大安区</c:v>
                </c:pt>
                <c:pt idx="4">
                  <c:v>自流井区</c:v>
                </c:pt>
                <c:pt idx="5">
                  <c:v>沿滩区</c:v>
                </c:pt>
                <c:pt idx="6">
                  <c:v>富顺县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18</c:v>
                </c:pt>
                <c:pt idx="1">
                  <c:v>2</c:v>
                </c:pt>
                <c:pt idx="2">
                  <c:v>6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高新区</c:v>
                </c:pt>
                <c:pt idx="2">
                  <c:v>荣县</c:v>
                </c:pt>
                <c:pt idx="3">
                  <c:v>大安区</c:v>
                </c:pt>
                <c:pt idx="4">
                  <c:v>自流井区</c:v>
                </c:pt>
                <c:pt idx="5">
                  <c:v>沿滩区</c:v>
                </c:pt>
                <c:pt idx="6">
                  <c:v>富顺县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64781.100529</c:v>
                </c:pt>
                <c:pt idx="1">
                  <c:v>125.88</c:v>
                </c:pt>
                <c:pt idx="2">
                  <c:v>754.649994</c:v>
                </c:pt>
                <c:pt idx="3">
                  <c:v>110.4141</c:v>
                </c:pt>
                <c:pt idx="4">
                  <c:v>156.4735</c:v>
                </c:pt>
                <c:pt idx="5">
                  <c:v>33</c:v>
                </c:pt>
                <c:pt idx="6">
                  <c:v>376.076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土地交易</a:t>
            </a:r>
            <a:r>
              <a:rPr lang="en-US" altLang="zh-CN"/>
              <a:t>2023</a:t>
            </a:r>
            <a:r>
              <a:rPr lang="zh-CN" altLang="en-US"/>
              <a:t>年第一季度与</a:t>
            </a:r>
            <a:r>
              <a:rPr lang="en-US" altLang="zh-CN"/>
              <a:t>2023</a:t>
            </a:r>
            <a:r>
              <a:rPr altLang="en-US"/>
              <a:t>第</a:t>
            </a:r>
            <a:r>
              <a:rPr altLang="en-US"/>
              <a:t>二季度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2023年第二季度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交易额（万元）</c:v>
                </c:pt>
                <c:pt idx="1">
                  <c:v>土地面积（亩）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58847.8236</c:v>
                </c:pt>
                <c:pt idx="1">
                  <c:v>1719.15492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2023年第一季度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交易额（万元）</c:v>
                </c:pt>
                <c:pt idx="1">
                  <c:v>土地面积（亩）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90132.8031</c:v>
                </c:pt>
                <c:pt idx="1">
                  <c:v>1696.938225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499424"/>
        <c:axId val="1146508128"/>
      </c:barChart>
      <c:catAx>
        <c:axId val="114649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8128"/>
        <c:crosses val="autoZero"/>
        <c:auto val="1"/>
        <c:lblAlgn val="ctr"/>
        <c:lblOffset val="100"/>
        <c:noMultiLvlLbl val="0"/>
      </c:catAx>
      <c:valAx>
        <c:axId val="11465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308006817873"/>
          <c:y val="0.245443919510061"/>
          <c:w val="0.210163440725288"/>
          <c:h val="0.15000104986876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土地使用权交易地类面积分布图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工业用地</c:v>
                </c:pt>
                <c:pt idx="1">
                  <c:v>经营性用地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1405.78644</c:v>
                </c:pt>
                <c:pt idx="1">
                  <c:v>313.36848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46495072"/>
        <c:axId val="1146501056"/>
      </c:barChart>
      <c:catAx>
        <c:axId val="1146495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1056"/>
        <c:crosses val="autoZero"/>
        <c:auto val="1"/>
        <c:lblAlgn val="ctr"/>
        <c:lblOffset val="100"/>
        <c:noMultiLvlLbl val="0"/>
      </c:catAx>
      <c:valAx>
        <c:axId val="1146501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土地使用权交易地类金额分布图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万元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工业用地</c:v>
                </c:pt>
                <c:pt idx="1">
                  <c:v>经营性用地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14008.3316</c:v>
                </c:pt>
                <c:pt idx="1">
                  <c:v>50074.682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46503232"/>
        <c:axId val="1146498880"/>
      </c:barChart>
      <c:catAx>
        <c:axId val="1146503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8880"/>
        <c:crosses val="autoZero"/>
        <c:auto val="1"/>
        <c:lblAlgn val="ctr"/>
        <c:lblOffset val="100"/>
        <c:noMultiLvlLbl val="0"/>
      </c:catAx>
      <c:valAx>
        <c:axId val="1146498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国有产权</a:t>
            </a:r>
            <a:r>
              <a:rPr lang="en-US" altLang="zh-CN"/>
              <a:t>2023</a:t>
            </a:r>
            <a:r>
              <a:rPr lang="zh-CN" altLang="en-US"/>
              <a:t>年第一季度与</a:t>
            </a:r>
            <a:r>
              <a:rPr lang="en-US" altLang="zh-CN"/>
              <a:t>2023</a:t>
            </a:r>
            <a:r>
              <a:rPr lang="zh-CN" altLang="en-US"/>
              <a:t>年第</a:t>
            </a:r>
            <a:r>
              <a:rPr lang="zh-CN" altLang="en-US"/>
              <a:t>二季度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2023年第一季度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交易额（万元）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39927.268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2023年第二季度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交易额（万元）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53.62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交易项目金额比</a:t>
            </a:r>
            <a:endParaRPr 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219981437681507"/>
                  <c:y val="0.056247684113015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404309252218"/>
                      <c:h val="0.18325999691215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0229633843298105"/>
                  <c:y val="0.0746149837887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2433360278634"/>
                      <c:h val="0.183259996912151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0729547019550313"/>
                  <c:y val="-0.04884707426277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77567138708422"/>
                  <c:y val="0.074589123050795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80228136882129"/>
                      <c:h val="0.18325999691215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土地使用权</c:v>
                </c:pt>
                <c:pt idx="1">
                  <c:v>政府集中采购</c:v>
                </c:pt>
                <c:pt idx="2">
                  <c:v>建设工程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58847.8236</c:v>
                </c:pt>
                <c:pt idx="1">
                  <c:v>66337.594123</c:v>
                </c:pt>
                <c:pt idx="2">
                  <c:v>232468.538987</c:v>
                </c:pt>
                <c:pt idx="3">
                  <c:v>53.62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交易项目</a:t>
            </a:r>
            <a:r>
              <a:rPr lang="zh-CN" altLang="zh-CN" sz="1400" b="0" i="0" u="none" strike="noStrike" baseline="0">
                <a:effectLst/>
              </a:rPr>
              <a:t>宗数</a:t>
            </a:r>
            <a:r>
              <a:rPr lang="zh-CN"/>
              <a:t>比</a:t>
            </a:r>
            <a:endParaRPr 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>
            <a:effectLst>
              <a:softEdge rad="25400"/>
            </a:effectLst>
          </c:spPr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softEdge rad="25400"/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softEdge rad="25400"/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softEdge rad="25400"/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softEdge rad="25400"/>
              </a:effectLst>
            </c:spPr>
          </c:dPt>
          <c:dLbls>
            <c:dLbl>
              <c:idx val="0"/>
              <c:layout>
                <c:manualLayout>
                  <c:x val="-0.0625529378548798"/>
                  <c:y val="0.092955111380308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0798904121049"/>
                      <c:h val="0.18258871487217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00150578787213351"/>
                  <c:y val="-0.1908676800015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43137685478558"/>
                  <c:y val="0.1141388095718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45525195804708"/>
                  <c:y val="0.11417822772153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5604249667995"/>
                      <c:h val="0.18258871487217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>
                <a:softEdge rad="50800"/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土地使用权</c:v>
                </c:pt>
                <c:pt idx="1">
                  <c:v>政府集中采购</c:v>
                </c:pt>
                <c:pt idx="2">
                  <c:v>建设工程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</c:v>
                </c:pt>
                <c:pt idx="1">
                  <c:v>35</c:v>
                </c:pt>
                <c:pt idx="2">
                  <c:v>113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CN" altLang="en-US"/>
              <a:t>建设工程</a:t>
            </a:r>
            <a:r>
              <a:rPr lang="en-US" altLang="zh-CN"/>
              <a:t>2023</a:t>
            </a:r>
            <a:r>
              <a:rPr lang="zh-CN" altLang="en-US"/>
              <a:t>年第</a:t>
            </a:r>
            <a:r>
              <a:rPr lang="zh-CN" altLang="en-US"/>
              <a:t>一季度与</a:t>
            </a:r>
            <a:r>
              <a:rPr lang="en-US" altLang="zh-CN"/>
              <a:t>2023</a:t>
            </a:r>
            <a:r>
              <a:rPr lang="zh-CN" altLang="en-US"/>
              <a:t>年第</a:t>
            </a:r>
            <a:r>
              <a:rPr lang="zh-CN" altLang="en-US"/>
              <a:t>二季度对比图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2023年第一季度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19.31513817</c:v>
                </c:pt>
                <c:pt idx="1">
                  <c:v>94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2023年第二季度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19.31513817</c:v>
                </c:pt>
                <c:pt idx="1">
                  <c:v>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974288"/>
        <c:axId val="1227975920"/>
      </c:barChart>
      <c:catAx>
        <c:axId val="12279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5920"/>
        <c:crosses val="autoZero"/>
        <c:auto val="1"/>
        <c:lblAlgn val="ctr"/>
        <c:lblOffset val="100"/>
        <c:noMultiLvlLbl val="0"/>
      </c:catAx>
      <c:valAx>
        <c:axId val="122797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847927794739943"/>
          <c:y val="0.208239202657807"/>
          <c:w val="0.14118785151856"/>
          <c:h val="0.149502707510398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交易类别项目分布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517162627398848"/>
                  <c:y val="0.0959014242072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2205406142414"/>
                      <c:h val="0.20282862183210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0.19986790585603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20785804816223"/>
                      <c:h val="0.19975490196078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238779243503653"/>
                  <c:y val="0.1093674970956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94993808"/>
                      <c:h val="0.18285831074394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010618445421595"/>
                  <c:y val="0.13623015360784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50063371"/>
                      <c:h val="0.18325999691215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交通工程</c:v>
                </c:pt>
                <c:pt idx="1">
                  <c:v>房建</c:v>
                </c:pt>
                <c:pt idx="2">
                  <c:v>市政</c:v>
                </c:pt>
                <c:pt idx="3">
                  <c:v>其他项目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</c:v>
                </c:pt>
                <c:pt idx="1">
                  <c:v>49</c:v>
                </c:pt>
                <c:pt idx="2">
                  <c:v>38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交易类别金额比</a:t>
            </a:r>
            <a:endParaRPr lang="zh-CN" altLang="en-US"/>
          </a:p>
        </c:rich>
      </c:tx>
      <c:layout>
        <c:manualLayout>
          <c:xMode val="edge"/>
          <c:yMode val="edge"/>
          <c:x val="0.227703470399533"/>
          <c:y val="0.0331950207468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91856517935258"/>
                  <c:y val="0.091839514096523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59983202099738"/>
                      <c:h val="0.2257749316605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33304170420685e-7"/>
                  <c:y val="-0.00016056641031213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20785804816223"/>
                      <c:h val="0.19975490196078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448107319918344"/>
                  <c:y val="0.10472664574979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46515019"/>
                      <c:h val="0.20553250345781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0320979877515311"/>
                  <c:y val="0.106966301180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50063371"/>
                      <c:h val="0.18325999691215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交通工程</c:v>
                </c:pt>
                <c:pt idx="1">
                  <c:v>房建</c:v>
                </c:pt>
                <c:pt idx="2">
                  <c:v>市政</c:v>
                </c:pt>
                <c:pt idx="3">
                  <c:v>其他项目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48985.431271</c:v>
                </c:pt>
                <c:pt idx="1">
                  <c:v>76549.173627</c:v>
                </c:pt>
                <c:pt idx="2">
                  <c:v>99568.290789</c:v>
                </c:pt>
                <c:pt idx="3">
                  <c:v>7365.6433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全市建设工程项目区域分布</a:t>
            </a:r>
            <a:endParaRPr lang="zh-CN" altLang="en-US"/>
          </a:p>
        </c:rich>
      </c:tx>
      <c:layout>
        <c:manualLayout>
          <c:xMode val="edge"/>
          <c:yMode val="edge"/>
          <c:x val="0.255289231622967"/>
          <c:y val="0.00412456176531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全市建设工程项目区域分布
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39532798818511"/>
                  <c:y val="0.10332010983675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2205406142414"/>
                      <c:h val="0.20282862183210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00238663484486884"/>
                  <c:y val="0.042026686239390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20785804816223"/>
                      <c:h val="0.19975490196078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0586831391267724"/>
                  <c:y val="0.006488557825369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94993808"/>
                      <c:h val="0.18285831074394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0282073929303"/>
                  <c:y val="-0.057420232761686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694550063371"/>
                      <c:h val="0.18325999691215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0352229276127793"/>
                  <c:y val="-0.00106377968994353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2162010388881"/>
                      <c:h val="0.10806741547490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0149678990220304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95454228898069"/>
                  <c:y val="0.03890208712568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自流井区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贡井区</c:v>
                </c:pt>
                <c:pt idx="5">
                  <c:v>富顺县</c:v>
                </c:pt>
                <c:pt idx="6">
                  <c:v>荣县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27</c:v>
                </c:pt>
                <c:pt idx="1">
                  <c:v>9</c:v>
                </c:pt>
                <c:pt idx="2">
                  <c:v>11</c:v>
                </c:pt>
                <c:pt idx="3">
                  <c:v>15</c:v>
                </c:pt>
                <c:pt idx="4">
                  <c:v>13</c:v>
                </c:pt>
                <c:pt idx="5">
                  <c:v>21</c:v>
                </c:pt>
                <c:pt idx="6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全市建设工程项目区域金额比</a:t>
            </a:r>
            <a:endParaRPr lang="zh-CN"/>
          </a:p>
        </c:rich>
      </c:tx>
      <c:layout>
        <c:manualLayout>
          <c:xMode val="edge"/>
          <c:yMode val="edge"/>
          <c:x val="0.240960036899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171174732865506"/>
                  <c:y val="0.024062228585063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502190887226962"/>
                  <c:y val="-0.004659126700071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2270505935712"/>
                  <c:y val="-0.006942114053925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73378798361502"/>
                  <c:y val="0.03279942734430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337780999132431"/>
                  <c:y val="-0.030343879742304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167188306482613"/>
                  <c:y val="0.046029682653304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102691661450269"/>
                  <c:y val="0.033482796468623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自流井区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贡井区</c:v>
                </c:pt>
                <c:pt idx="5">
                  <c:v>富顺县</c:v>
                </c:pt>
                <c:pt idx="6">
                  <c:v>荣县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72787.397579</c:v>
                </c:pt>
                <c:pt idx="1">
                  <c:v>9514.756871</c:v>
                </c:pt>
                <c:pt idx="2">
                  <c:v>19931.912641</c:v>
                </c:pt>
                <c:pt idx="3">
                  <c:v>17885.930051</c:v>
                </c:pt>
                <c:pt idx="4">
                  <c:v>17439.755341</c:v>
                </c:pt>
                <c:pt idx="5">
                  <c:v>54259.252585</c:v>
                </c:pt>
                <c:pt idx="6">
                  <c:v>40649.533919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黑体" panose="02010609060101010101" charset="-122"/>
                <a:ea typeface="黑体" panose="02010609060101010101" charset="-122"/>
                <a:cs typeface="+mn-cs"/>
              </a:rPr>
              <a:t>政府集中采购</a:t>
            </a:r>
            <a:r>
              <a:rPr lang="en-US" b="0">
                <a:latin typeface="黑体" panose="02010609060101010101" charset="-122"/>
                <a:ea typeface="黑体" panose="02010609060101010101" charset="-122"/>
              </a:rPr>
              <a:t>2023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年第一季度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与</a:t>
            </a:r>
            <a:r>
              <a:rPr lang="en-US" altLang="zh-CN" b="0">
                <a:latin typeface="黑体" panose="02010609060101010101" charset="-122"/>
                <a:ea typeface="黑体" panose="02010609060101010101" charset="-122"/>
              </a:rPr>
              <a:t>2023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年第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二季度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对比图</a:t>
            </a:r>
            <a:endParaRPr 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2023年第一季度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交易额(万元)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</c:v>
                </c:pt>
                <c:pt idx="1">
                  <c:v>61541.036336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2023年第二季度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交易额(万元)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35</c:v>
                </c:pt>
                <c:pt idx="1" c:formatCode="#,##0.00">
                  <c:v>66337.594123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6502144"/>
        <c:axId val="1146511936"/>
      </c:barChart>
      <c:catAx>
        <c:axId val="114650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1936"/>
        <c:crosses val="autoZero"/>
        <c:auto val="1"/>
        <c:lblAlgn val="ctr"/>
        <c:lblOffset val="100"/>
        <c:noMultiLvlLbl val="0"/>
      </c:catAx>
      <c:valAx>
        <c:axId val="1146511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54C8-02FB-430C-A6DF-F3F88EFB1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1011</Words>
  <Characters>1457</Characters>
  <Lines>6</Lines>
  <Paragraphs>4</Paragraphs>
  <TotalTime>13</TotalTime>
  <ScaleCrop>false</ScaleCrop>
  <LinksUpToDate>false</LinksUpToDate>
  <CharactersWithSpaces>1467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老贺</cp:lastModifiedBy>
  <dcterms:modified xsi:type="dcterms:W3CDTF">2023-08-08T09:30:41Z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6223D2C5BD874B55AC4A2B14F638CBE0_13</vt:lpwstr>
  </property>
</Properties>
</file>