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lang w:val="en-US" w:eastAsia="zh-CN"/>
        </w:rPr>
      </w:pPr>
      <w:r>
        <w:rPr>
          <w:rFonts w:hint="eastAsia"/>
          <w:b/>
          <w:bCs/>
          <w:sz w:val="48"/>
          <w:szCs w:val="48"/>
          <w:lang w:val="en-US" w:eastAsia="zh-CN"/>
        </w:rPr>
        <w:t>大安区公共资源交易服务中心</w:t>
      </w:r>
    </w:p>
    <w:p>
      <w:pPr>
        <w:rPr>
          <w:rFonts w:hint="eastAsia"/>
          <w:sz w:val="84"/>
          <w:szCs w:val="84"/>
          <w:lang w:val="en-US" w:eastAsia="zh-CN"/>
        </w:rPr>
      </w:pPr>
    </w:p>
    <w:p>
      <w:pPr>
        <w:rPr>
          <w:rFonts w:hint="eastAsia"/>
          <w:sz w:val="84"/>
          <w:szCs w:val="84"/>
          <w:lang w:val="en-US" w:eastAsia="zh-CN"/>
        </w:rPr>
      </w:pPr>
    </w:p>
    <w:p>
      <w:pPr>
        <w:jc w:val="center"/>
        <w:rPr>
          <w:rFonts w:hint="eastAsia"/>
          <w:sz w:val="84"/>
          <w:szCs w:val="84"/>
          <w:lang w:val="en-US" w:eastAsia="zh-CN"/>
        </w:rPr>
      </w:pPr>
      <w:r>
        <w:rPr>
          <w:rFonts w:hint="eastAsia"/>
          <w:sz w:val="84"/>
          <w:szCs w:val="84"/>
          <w:lang w:val="en-US" w:eastAsia="zh-CN"/>
        </w:rPr>
        <w:t>交</w:t>
      </w:r>
    </w:p>
    <w:p>
      <w:pPr>
        <w:jc w:val="center"/>
        <w:rPr>
          <w:rFonts w:hint="eastAsia"/>
          <w:sz w:val="84"/>
          <w:szCs w:val="84"/>
          <w:lang w:val="en-US" w:eastAsia="zh-CN"/>
        </w:rPr>
      </w:pPr>
      <w:r>
        <w:rPr>
          <w:rFonts w:hint="eastAsia"/>
          <w:sz w:val="84"/>
          <w:szCs w:val="84"/>
          <w:lang w:val="en-US" w:eastAsia="zh-CN"/>
        </w:rPr>
        <w:t>易</w:t>
      </w:r>
    </w:p>
    <w:p>
      <w:pPr>
        <w:jc w:val="center"/>
        <w:rPr>
          <w:rFonts w:hint="eastAsia"/>
          <w:sz w:val="84"/>
          <w:szCs w:val="84"/>
          <w:lang w:val="en-US" w:eastAsia="zh-CN"/>
        </w:rPr>
      </w:pPr>
      <w:r>
        <w:rPr>
          <w:rFonts w:hint="eastAsia"/>
          <w:sz w:val="84"/>
          <w:szCs w:val="84"/>
          <w:lang w:val="en-US" w:eastAsia="zh-CN"/>
        </w:rPr>
        <w:t>服</w:t>
      </w:r>
    </w:p>
    <w:p>
      <w:pPr>
        <w:jc w:val="center"/>
        <w:rPr>
          <w:rFonts w:hint="eastAsia"/>
          <w:sz w:val="84"/>
          <w:szCs w:val="84"/>
          <w:lang w:val="en-US" w:eastAsia="zh-CN"/>
        </w:rPr>
      </w:pPr>
      <w:r>
        <w:rPr>
          <w:rFonts w:hint="eastAsia"/>
          <w:sz w:val="84"/>
          <w:szCs w:val="84"/>
          <w:lang w:val="en-US" w:eastAsia="zh-CN"/>
        </w:rPr>
        <w:t>务</w:t>
      </w:r>
    </w:p>
    <w:p>
      <w:pPr>
        <w:jc w:val="center"/>
        <w:rPr>
          <w:rFonts w:hint="eastAsia"/>
          <w:sz w:val="84"/>
          <w:szCs w:val="84"/>
          <w:lang w:val="en-US" w:eastAsia="zh-CN"/>
        </w:rPr>
      </w:pPr>
      <w:r>
        <w:rPr>
          <w:rFonts w:hint="eastAsia"/>
          <w:sz w:val="84"/>
          <w:szCs w:val="84"/>
          <w:lang w:val="en-US" w:eastAsia="zh-CN"/>
        </w:rPr>
        <w:t>指</w:t>
      </w:r>
    </w:p>
    <w:p>
      <w:pPr>
        <w:jc w:val="center"/>
        <w:rPr>
          <w:rFonts w:hint="eastAsia"/>
          <w:sz w:val="84"/>
          <w:szCs w:val="84"/>
          <w:lang w:val="en-US" w:eastAsia="zh-CN"/>
        </w:rPr>
      </w:pPr>
      <w:r>
        <w:rPr>
          <w:rFonts w:hint="eastAsia"/>
          <w:sz w:val="84"/>
          <w:szCs w:val="84"/>
          <w:lang w:val="en-US" w:eastAsia="zh-CN"/>
        </w:rPr>
        <w:t>南</w:t>
      </w:r>
    </w:p>
    <w:p>
      <w:pPr>
        <w:jc w:val="center"/>
        <w:rPr>
          <w:rFonts w:hint="eastAsia"/>
          <w:sz w:val="84"/>
          <w:szCs w:val="84"/>
          <w:lang w:val="en-US" w:eastAsia="zh-CN"/>
        </w:rPr>
      </w:pPr>
    </w:p>
    <w:p>
      <w:pPr>
        <w:jc w:val="center"/>
        <w:rPr>
          <w:rFonts w:hint="eastAsia"/>
          <w:sz w:val="84"/>
          <w:szCs w:val="84"/>
          <w:lang w:val="en-US" w:eastAsia="zh-CN"/>
        </w:rPr>
      </w:pPr>
    </w:p>
    <w:p>
      <w:pPr>
        <w:jc w:val="both"/>
        <w:rPr>
          <w:rFonts w:hint="default"/>
          <w:sz w:val="32"/>
          <w:szCs w:val="32"/>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一、区政务服务和公共资源交易中心简介</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大安区2019年6月28日第三次编委会研究，同意调整大安区公共资源交易服务中心有关机构编制事项，政务服务职责和公共资源交易中心、政府采购中心等职责整合，组建区政务服务和公共资源交易中心，挂区政府采购中心牌子，作为区政府直属的公益一类事业单位，由区行政审批局代管。</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二、主要职责</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（一）承担区级政务服务和公共资源交易平台建设和管理，负责平台的信息、网络、电子化交易、维护和数据统计工作；负责政务服务和公共资源交易的信息整理和发布工作。</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（二）制定区政务服务和公共资源交易现场管理规章制度、工作流程和服务规范并组织实施；推行政务服务和公共资源交易服务标准化。</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（三）按有关规定查验参与交易活动各方主体资格和进场交易项目相关手续；负责对进入区政务服务和公共资源交易中心的政府投资工程项目比选、政府采购等公共资源交易活动提供场所、现场服务和管理工作。</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（四）受委托依法承担政府采购区本级的集中采购（四川省政府集中采购目录内采购项目）工作。</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负责为行业监管部门实施现场监管提供场所及相应的保障服务。</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（五）负责记录、制止和纠正违反交易现场管理制度的行为；协助有关部门调查交易活动中产生的争议和投诉。</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（六）对部门（单位）派驻政务服务大厅的窗口工作人员实施日常管理和考核。负责受理对进驻部门（单位）办理政务服务事项的投诉和对工作人员的投诉，并会同有关部门按规定进行调查处理。</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（七）承担政务服务大厅的管理、乡镇便民服务中心的电子监察，指导、督查乡镇（村、社区）便民服务中心（室）建设和运行管理；承担一体化政务服务平台和“12345”政务服务热线的具体工作。</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（八）承担区惠民帮扶、中介服务业的日常管理及服务工作。</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（九）承担区行政审批局职责内的行政许可和审批事项所涉及的农牧业（农机）、林业、水务、文化、园林、绿化、规划、建设、国土等项目审批前的技术服务、培训和技术支持、保障工作。</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承办区委、区政府及区行政审批局交办的其他事项。</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三、内设机构及职责</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（一）根据上述职责区政务服务和公共资源交易中心设6个内设机构，即：政务服务股（效能监察股）、公共资源交易股（政府采购股）、信息平台股、技术服务股、中介管理股、财务股。</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政务服务股（效能监察股）。负责政务服务各项规章制度、管理办法的制定和组织实施；负责政务服务工作联席会议的相关工作；负责政务服务体系建设工作；负责政务服务大厅和乡镇便民服务中心（村社区便民服务室）的日常管理和效能监察，负责受理和查处申请人对进驻部门（单位）办理政务服务事项和窗口工作人员的效能投诉；负责全区的惠民帮扶工作的组织协调、统筹管理、催办督办和困难群众的应急救难。</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共资源交易股（政府采购股）。贯彻执行公共资源交易法律、法规和政策；拟订公共资源场内交易工作制度、流程；按照相关规定承担进场交易项目报名、信息发布审查；安排项目交易时间及场地；负责进场项目交易现场组织服务工作和项目交易现场监督工作；承担交易场所秩序维护；受理、移送并协助查处现场交易质疑、投诉，配合执法机关进场监督与执法；登记、统计、发布项目进场交易信息。贯彻执行政府采购法律、法规和政策；拟定采购内部工作操作规程；受理并组织实施政府集中采购活动，受委托代理集中采购目录以外限额标准以上项目的采购等工作；按规定受理政府采购质疑并协助处理投诉举报事宜；统计政府采购信息数据。现场管理监控录像存储及股室业务档案的归档工作。</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信息平台股。负责政务服务和公共资源交易的信息化建设，网络运行管理；承担一体化政务服务平台和“12345”政务服务热线的具体工作；负责全区政务服务大厅，乡镇便民服务中心（室）的电子监察，指导、督查乡镇便民服务中心网络建设。</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技术服务股。承担行政许可和审批事项所涉及的农牧业（农机）、林业、水业、文化、园林、绿化、规划、建设、国土等项目审批前的技术服务、培训和技术支持、保障工作。(六）中介管理股。办理社会中介组织发展服务的相关日常工作，对社会中介组织进行协调、服务和监督、管理；负责研究制定社会中介组织发展规划、发展政策；负责制定对社会中介组织的监督管理规定；负责组织协调相关部门对社会中介组织的经营管理活动进行监督检查，对违法违规行为进行处罚；负责受理并会同有关部门查处对社会中介组织的投诉；负责指导社会中介组织协会的建设。</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（七）财务股。负责中心国有资产和财务管理，制定并实施相关管理制度；负责政务服务和公共资源交易服务各项数据统计分析工作。</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四、人员编制及领导职数</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增核事业编制12名，调整后区政务服务和公共资源交易中心事业编制为18名。其中：设主任1名（副科级），副主任2名；股级负责人6名。   </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五、工作时间</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周一至周五(国家法定节假日除外)上午9:00-12:00，13:00-17:00</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六、办公地点</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大山铺镇东大家居城二期10号楼2楼，大安区政务服务中心内</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44"/>
          <w:szCs w:val="44"/>
          <w:lang w:val="en-US" w:eastAsia="zh-CN"/>
        </w:rPr>
        <w:t>大安区政府采购项目进场交易工作规程</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进入大安区政务服务和公共资源交易中心(以下简称:交易中心)开展政府采购活动的，适用本规程。</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1、项目登记和场地预约</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政府采购代理机构按照交易中心规定的工作流程登记政府采购项目、场地预约等事项。</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需隔夜评标的，提交隔夜评标申请。项目延期或取消的，提交场地变更或取消申请。</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2、发布采购公告</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场地预约成功后，采购代理机构在省级以上财政部门指定的媒体上发布采购公告、发出采购文件。</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采购文件有澄清或者修改的，其澄清或者修改应当在原公告发布媒体上发布。</w:t>
      </w:r>
    </w:p>
    <w:p>
      <w:pPr>
        <w:keepNext w:val="0"/>
        <w:keepLines w:val="0"/>
        <w:widowControl/>
        <w:numPr>
          <w:ilvl w:val="0"/>
          <w:numId w:val="1"/>
        </w:numPr>
        <w:suppressLineNumbers w:val="0"/>
        <w:spacing w:after="240" w:afterAutospacing="0"/>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交易准备</w:t>
      </w:r>
    </w:p>
    <w:p>
      <w:pPr>
        <w:keepNext w:val="0"/>
        <w:keepLines w:val="0"/>
        <w:widowControl/>
        <w:numPr>
          <w:numId w:val="0"/>
        </w:numPr>
        <w:suppressLineNumbers w:val="0"/>
        <w:spacing w:after="240" w:afterAutospacing="0"/>
        <w:ind w:leftChars="304"/>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易前1个工作日，交易中心工作人员核对项目信息，准备场地。交易当日，交易中心工作人员至少在项目交易开始前半个小时到岗，将交易的场地、时间、其他必要信息在指定区域公布;查验采购代理机构人员身份信息、委托代理协议、采购人监督工作人员介绍信、资格审人员及采购人代表授权函等资料，发放相应工作牌。</w:t>
      </w:r>
    </w:p>
    <w:p>
      <w:pPr>
        <w:keepNext w:val="0"/>
        <w:keepLines w:val="0"/>
        <w:widowControl/>
        <w:numPr>
          <w:ilvl w:val="0"/>
          <w:numId w:val="1"/>
        </w:numPr>
        <w:suppressLineNumbers w:val="0"/>
        <w:spacing w:after="240" w:afterAutospacing="0"/>
        <w:ind w:left="638" w:leftChars="304" w:firstLine="0"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接收投标(响应)文件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1)开标室由交易中心工作人员负责安排和调整，并保障开标室设施设备的正常运转。</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2)政府采购代理机构人员、采购单位监督人员或采购人代表凭有效身份证明证件领取工作牌。</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3)政府采购代理机构应严格按照采购文件的要求接收投标(响应)文件。并如实记载投标(响应)文件的送达时间和密封情况，签收保存。逾期送达或未按要求密封的投标(响应)文件应当拒收。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5、开标</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政府采购代理机构工作人员应严格按照法定程序组织开标，维护开标现场秩序，依法依规妥善处理现场异常情况开标过程应当由采购代理机构负责记录，由参加开标的各投标人代表和相关工作人员签字确认。开标结束后，采购代理机构工作人员在现场监督人员监督下，将采购文件、投标(响应)文件等评标所需资料完整地移送至评标室。</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6、抽取评审专家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采购单位监督代表凭介绍信在四川省政府采购评审专家库系统抽取终端现场监督完成专家抽取工作并负责保管专家抽取结果记录表，在通知评审专家到达评审现场时间截止后，当场将评审专家抽取结果交由采购代理机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7、核实评审专家、资格审査人员、采购人代表身份采购代理机构工作人员负责核实评审专家和采购人代表以及资格审查人员身份。评审专家和采购人代表以及资格审查人员随身携带的所有通讯工具和相关电子设备由交易中心统一隔离保管，拒绝提交通讯工具或者相关电子设备的，采购代理机构可以拒绝其参加评审工作，并向同级财政部门报告。</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8、评标(磋商、询价、谈判、协商等)</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评标(磋商、询价、谈判、协商等)过程中，采购代理机构应及时应答评标室内评审专家呼叫，完整记录评标过程中评审专家对外联系和相关人员进出情况。评标(磋商、询价、谈判、协商等)工作结束后，采购代理机构按照规定向评审专家支付劳务报酬和异地评审差旅费，不得向评审专家以外的其他人员支付评审劳务报酬。</w:t>
      </w:r>
    </w:p>
    <w:p>
      <w:pPr>
        <w:keepNext w:val="0"/>
        <w:keepLines w:val="0"/>
        <w:widowControl/>
        <w:numPr>
          <w:numId w:val="0"/>
        </w:numPr>
        <w:suppressLineNumbers w:val="0"/>
        <w:spacing w:after="240" w:afterAutospacing="0"/>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9、确定采购结果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采购代理机构自评标(评审)结束之日起2个工作日内将评标(评审)报告送交采购人。采购人在评标(评审)报告确定的中标(成交)候选人名单中按顺序确定中标(成交)供应商。采购人委托(授权)评审小组直接确定中标(成交)供应商的评审小组推荐中标(成交)候选供应商后，应当现场按照政府采购法律制度和采购文件有关规定直接确定中标(成交)供应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10、发布结果公告</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政府采购代理机构自中标(成交)供应商确定之日起2个工作日内发出中标、成交通知书，同时在省级以上财政部门指定的媒体上公布中标(成交)结果。</w:t>
      </w:r>
      <w:r>
        <w:rPr>
          <w:rFonts w:hint="eastAsia" w:ascii="仿宋" w:hAnsi="仿宋" w:eastAsia="仿宋" w:cs="仿宋"/>
          <w:sz w:val="32"/>
          <w:szCs w:val="32"/>
          <w:lang w:val="en-US" w:eastAsia="zh-CN"/>
        </w:rPr>
        <w:br w:type="textWrapping"/>
      </w: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eastAsia" w:ascii="仿宋" w:hAnsi="仿宋" w:eastAsia="仿宋" w:cs="仿宋"/>
          <w:sz w:val="32"/>
          <w:szCs w:val="32"/>
          <w:lang w:val="en-US" w:eastAsia="zh-CN"/>
        </w:rPr>
      </w:pPr>
    </w:p>
    <w:p>
      <w:pPr>
        <w:keepNext w:val="0"/>
        <w:keepLines w:val="0"/>
        <w:widowControl/>
        <w:numPr>
          <w:ilvl w:val="0"/>
          <w:numId w:val="0"/>
        </w:numPr>
        <w:suppressLineNumbers w:val="0"/>
        <w:spacing w:after="240" w:afterAutospacing="0"/>
        <w:jc w:val="both"/>
        <w:rPr>
          <w:rFonts w:hint="default"/>
          <w:sz w:val="32"/>
          <w:szCs w:val="32"/>
          <w:lang w:val="en-US" w:eastAsia="zh-CN"/>
        </w:rPr>
      </w:pPr>
    </w:p>
    <w:p>
      <w:pPr>
        <w:jc w:val="both"/>
        <w:rPr>
          <w:rFonts w:hint="default"/>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Arial">
    <w:panose1 w:val="020B0604020202020204"/>
    <w:charset w:val="00"/>
    <w:family w:val="auto"/>
    <w:pitch w:val="default"/>
    <w:sig w:usb0="E0002EFF" w:usb1="C000785B" w:usb2="00000009" w:usb3="00000000" w:csb0="400001FF" w:csb1="FFFF0000"/>
  </w:font>
  <w:font w:name="Bahnschrift Light">
    <w:panose1 w:val="020B0502040204020203"/>
    <w:charset w:val="00"/>
    <w:family w:val="auto"/>
    <w:pitch w:val="default"/>
    <w:sig w:usb0="8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w:panose1 w:val="020B0502040204020203"/>
    <w:charset w:val="00"/>
    <w:family w:val="auto"/>
    <w:pitch w:val="default"/>
    <w:sig w:usb0="800002C7" w:usb1="00000002"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53A15"/>
    <w:multiLevelType w:val="singleLevel"/>
    <w:tmpl w:val="8E453A1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504D"/>
    <w:rsid w:val="30A81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2021-05-27T02:05:00Z</dcterms:created>
  <dc:creator>Administrator</dc:creator>
  <cp:lastModifiedBy>Administrator</cp:lastModifiedBy>
  <cp:lastPrinted>2021-05-27T03:36:04Z</cp:lastPrinted>
  <dcterms:modified xsi:type="dcterms:W3CDTF">2021-05-27T03:36:17Z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8282496DA7AE455992C2AD81DD0C4C16</vt:lpwstr>
  </property>
</Properties>
</file>